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476"/>
        <w:jc w:val="center"/>
        <w:spacing w:before="120" w:beforeAutospacing="0" w:after="120" w:afterAutospacing="0" w:line="360" w:lineRule="auto"/>
        <w:rPr>
          <w:rFonts w:hint="eastAsia" w:ascii="Arial" w:hAnsi="Arial" w:cs="Arial"/>
          <w:b/>
          <w:color w:val="000000"/>
          <w:sz w:val="84"/>
          <w:szCs w:val="84"/>
          <w:highlight w:val="none"/>
        </w:rPr>
      </w:pPr>
      <w:r>
        <w:rPr>
          <w:rFonts w:hint="eastAsia" w:ascii="Arial" w:hAnsi="Arial" w:cs="Arial"/>
          <w:b/>
          <w:color w:val="000000"/>
          <w:sz w:val="84"/>
          <w:szCs w:val="84"/>
          <w:highlight w:val="none"/>
        </w:rPr>
      </w:r>
      <w:r/>
    </w:p>
    <w:p>
      <w:pPr>
        <w:pStyle w:val="2476"/>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84"/>
          <w:szCs w:val="84"/>
          <w:highlight w:val="none"/>
        </w:rPr>
        <w:t xml:space="preserve">单一来源采购文件</w:t>
      </w:r>
      <w:r/>
    </w:p>
    <w:p>
      <w:pPr>
        <w:pStyle w:val="2476"/>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476"/>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476"/>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476"/>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476"/>
        <w:jc w:val="center"/>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盐城市公安局交警支队涉案车辆清拖及存放服务采购项目</w:t>
      </w:r>
      <w:r/>
    </w:p>
    <w:p>
      <w:pPr>
        <w:pStyle w:val="2476"/>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项目编号：JSZC-320900-JCJS-D2026-0005</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476"/>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2476"/>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2026年</w:t>
      </w:r>
      <w:r>
        <w:rPr>
          <w:rFonts w:hint="eastAsia" w:ascii="Arial" w:hAnsi="Arial" w:cs="Arial"/>
          <w:b/>
          <w:color w:val="000000"/>
          <w:sz w:val="32"/>
          <w:szCs w:val="32"/>
          <w:highlight w:val="none"/>
          <w:lang w:val="en-US" w:eastAsia="zh-CN"/>
        </w:rPr>
        <w:t xml:space="preserve">5</w:t>
      </w:r>
      <w:r>
        <w:rPr>
          <w:rFonts w:hint="eastAsia" w:ascii="Arial" w:hAnsi="Arial" w:cs="Arial"/>
          <w:b/>
          <w:color w:val="000000"/>
          <w:sz w:val="32"/>
          <w:szCs w:val="32"/>
          <w:highlight w:val="none"/>
        </w:rPr>
        <w:t xml:space="preserve">月</w:t>
      </w:r>
      <w:r/>
    </w:p>
    <w:p>
      <w:pPr>
        <w:pStyle w:val="2476"/>
        <w:jc w:val="center"/>
        <w:spacing w:beforeAutospacing="0" w:afterAutospacing="0" w:line="480" w:lineRule="auto"/>
        <w:rPr>
          <w:rFonts w:hint="default"/>
          <w:sz w:val="24"/>
          <w:szCs w:val="24"/>
          <w:highlight w:val="none"/>
        </w:rPr>
      </w:pPr>
      <w:r>
        <w:rPr>
          <w:rFonts w:hint="default" w:ascii="Arial" w:hAnsi="Arial" w:cs="Arial"/>
          <w:color w:val="000000"/>
          <w:sz w:val="24"/>
          <w:szCs w:val="24"/>
          <w:highlight w:val="none"/>
        </w:rPr>
        <w:t xml:space="preserve">          </w:t>
      </w:r>
      <w:r>
        <w:rPr>
          <w:rFonts w:hint="eastAsia" w:ascii="Times New Roman" w:hAnsi="Times New Roman" w:eastAsia="Times New Roman"/>
          <w:color w:val="000000"/>
          <w:sz w:val="21"/>
          <w:szCs w:val="21"/>
          <w:highlight w:val="none"/>
        </w:rPr>
        <w:t xml:space="preserve"> </w:t>
      </w:r>
      <w:bookmarkStart w:id="0" w:name="_Toc16938516"/>
      <w:r/>
      <w:bookmarkStart w:id="1" w:name="_Toc479757206"/>
      <w:r/>
      <w:bookmarkStart w:id="2" w:name="_Toc20823272"/>
      <w:r/>
      <w:bookmarkStart w:id="3" w:name="_Toc523127445"/>
      <w:r/>
      <w:bookmarkStart w:id="4" w:name="_Toc120614210"/>
      <w:r/>
      <w:bookmarkStart w:id="5" w:name="_Toc513029200"/>
      <w:r>
        <w:rPr>
          <w:rFonts w:hint="eastAsia"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2476"/>
        <w:jc w:val="both"/>
        <w:spacing w:beforeAutospacing="0" w:afterAutospacing="0" w:line="480" w:lineRule="auto"/>
        <w:rPr>
          <w:rFonts w:hint="default"/>
          <w:sz w:val="24"/>
          <w:szCs w:val="24"/>
          <w:highlight w:val="none"/>
        </w:rPr>
      </w:pPr>
      <w:r>
        <w:rPr>
          <w:rFonts w:hint="default"/>
          <w:sz w:val="24"/>
          <w:szCs w:val="24"/>
          <w:highlight w:val="none"/>
        </w:rPr>
        <w:t xml:space="preserve"> </w:t>
      </w:r>
      <w:r/>
    </w:p>
    <w:p>
      <w:pPr>
        <w:pStyle w:val="2476"/>
        <w:ind w:left="2160" w:hanging="1440"/>
        <w:jc w:val="both"/>
        <w:spacing w:beforeAutospacing="0" w:afterAutospacing="0" w:line="480" w:lineRule="auto"/>
        <w:tabs>
          <w:tab w:val="left" w:pos="1441" w:leader="none"/>
        </w:tabs>
        <w:rPr>
          <w:rFonts w:hint="eastAsia" w:eastAsia="黑体"/>
          <w:sz w:val="24"/>
          <w:szCs w:val="24"/>
          <w:highlight w:val="none"/>
          <w:lang w:val="en-US" w:eastAsia="zh-CN"/>
        </w:rPr>
      </w:pP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3</w:t>
      </w:r>
      <w:r/>
    </w:p>
    <w:p>
      <w:pPr>
        <w:pStyle w:val="2476"/>
        <w:ind w:left="2160" w:hanging="1440"/>
        <w:jc w:val="both"/>
        <w:spacing w:beforeAutospacing="0" w:afterAutospacing="0" w:line="480" w:lineRule="auto"/>
        <w:tabs>
          <w:tab w:val="left" w:pos="1441" w:leader="none"/>
        </w:tabs>
        <w:rPr>
          <w:rFonts w:hint="default"/>
          <w:sz w:val="24"/>
          <w:szCs w:val="24"/>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2476"/>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24</w:t>
      </w:r>
      <w:r/>
    </w:p>
    <w:p>
      <w:pPr>
        <w:pStyle w:val="2476"/>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30</w:t>
      </w:r>
      <w:bookmarkStart w:id="181" w:name="_GoBack"/>
      <w:r/>
      <w:bookmarkEnd w:id="181"/>
      <w:r/>
      <w:r/>
    </w:p>
    <w:p>
      <w:pPr>
        <w:pStyle w:val="2476"/>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33</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both"/>
        <w:spacing w:beforeAutospacing="0" w:afterAutospacing="0"/>
        <w:rPr>
          <w:rFonts w:hint="default"/>
          <w:sz w:val="24"/>
          <w:szCs w:val="24"/>
          <w:highlight w:val="none"/>
        </w:rPr>
      </w:pPr>
      <w:r>
        <w:rPr>
          <w:rFonts w:hint="default"/>
          <w:sz w:val="24"/>
          <w:szCs w:val="24"/>
          <w:highlight w:val="none"/>
        </w:rPr>
        <w:t xml:space="preserve"> </w:t>
      </w:r>
      <w:r/>
    </w:p>
    <w:p>
      <w:pPr>
        <w:pStyle w:val="2476"/>
        <w:jc w:val="center"/>
        <w:spacing w:beforeAutospacing="0" w:afterAutospacing="0"/>
        <w:rPr>
          <w:rFonts w:hint="default"/>
          <w:sz w:val="24"/>
          <w:szCs w:val="24"/>
          <w:highlight w:val="none"/>
        </w:rPr>
      </w:pPr>
      <w:r>
        <w:rPr>
          <w:rFonts w:hint="default"/>
          <w:sz w:val="24"/>
          <w:szCs w:val="24"/>
          <w:highlight w:val="none"/>
        </w:rPr>
        <w:t xml:space="preserve"> </w:t>
      </w:r>
      <w:r>
        <w:rPr>
          <w:rFonts w:hint="default"/>
          <w:sz w:val="24"/>
          <w:szCs w:val="24"/>
          <w:highlight w:val="none"/>
        </w:rPr>
        <w:t xml:space="preserve"> </w:t>
      </w:r>
      <w:r>
        <w:rPr>
          <w:rFonts w:hint="eastAsia" w:ascii="黑体" w:hAnsi="宋体" w:eastAsia="黑体" w:cs="黑体"/>
          <w:color w:val="000000"/>
          <w:sz w:val="44"/>
          <w:szCs w:val="44"/>
          <w:highlight w:val="none"/>
        </w:rPr>
        <w:t xml:space="preserve">第一章  单一来源采购邀请</w:t>
      </w:r>
      <w:r>
        <w:rPr>
          <w:rFonts w:hint="default"/>
          <w:sz w:val="24"/>
          <w:szCs w:val="24"/>
          <w:highlight w:val="none"/>
        </w:rPr>
      </w:r>
      <w:r/>
    </w:p>
    <w:p>
      <w:pPr>
        <w:pStyle w:val="2476"/>
        <w:ind w:firstLine="480"/>
        <w:jc w:val="both"/>
        <w:spacing w:beforeAutospacing="0" w:afterAutospacing="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000000"/>
          <w:sz w:val="24"/>
          <w:szCs w:val="24"/>
          <w:highlight w:val="none"/>
        </w:rPr>
        <w:t xml:space="preserve">受盐城市公安局的委托，江苏捷诚建设项目管理咨询有限公司就</w:t>
      </w:r>
      <w:r>
        <w:rPr>
          <w:rFonts w:hint="eastAsia" w:ascii="宋体" w:hAnsi="宋体" w:cs="宋体"/>
          <w:color w:val="000000"/>
          <w:sz w:val="24"/>
          <w:szCs w:val="24"/>
          <w:highlight w:val="none"/>
          <w:lang w:eastAsia="zh-CN"/>
        </w:rPr>
        <w:t xml:space="preserve">盐城市公安局交警支队涉案车辆清拖及存放服务采购项目</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：JSZC-320900-JCJS-D2026-0005</w:t>
      </w:r>
      <w:r>
        <w:rPr>
          <w:rFonts w:hint="eastAsia" w:ascii="宋体" w:hAnsi="宋体" w:cs="宋体"/>
          <w:color w:val="000000"/>
          <w:sz w:val="24"/>
          <w:szCs w:val="24"/>
          <w:highlight w:val="none"/>
        </w:rPr>
        <w:t xml:space="preserve">)</w:t>
      </w:r>
      <w:r>
        <w:rPr>
          <w:rFonts w:hint="eastAsia" w:ascii="宋体" w:hAnsi="宋体" w:cs="宋体"/>
          <w:color w:val="auto"/>
          <w:sz w:val="24"/>
          <w:szCs w:val="24"/>
          <w:highlight w:val="none"/>
        </w:rPr>
        <w:t xml:space="preserve">项目进行单一来源采购，欢迎符合相关条件的合格供应商参加采购活动。</w:t>
      </w:r>
      <w:r/>
    </w:p>
    <w:p>
      <w:pPr>
        <w:pStyle w:val="2476"/>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6" w:name="_Toc35393621"/>
      <w:r/>
      <w:bookmarkStart w:id="7" w:name="_Hlk24379207"/>
      <w:r/>
      <w:bookmarkStart w:id="8" w:name="_Toc38985263"/>
      <w:r/>
      <w:bookmarkStart w:id="9" w:name="_Toc35393790"/>
      <w:r/>
      <w:bookmarkStart w:id="10" w:name="_Toc28359002"/>
      <w:r/>
      <w:bookmarkStart w:id="11" w:name="_Toc28359079"/>
      <w:r>
        <w:rPr>
          <w:rFonts w:hint="eastAsia" w:ascii="宋体" w:hAnsi="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12" w:name="_Toc35393622"/>
      <w:r/>
      <w:bookmarkStart w:id="13" w:name="_Toc38985264"/>
      <w:r/>
      <w:bookmarkStart w:id="14" w:name="_Toc28359003"/>
      <w:r/>
      <w:bookmarkStart w:id="15" w:name="_Toc28359080"/>
      <w:r/>
      <w:bookmarkStart w:id="16" w:name="_Toc35393791"/>
      <w:r>
        <w:rPr>
          <w:rFonts w:hint="eastAsia" w:ascii="宋体" w:hAnsi="宋体" w:cs="宋体"/>
          <w:color w:val="auto"/>
          <w:sz w:val="24"/>
          <w:szCs w:val="24"/>
          <w:highlight w:val="none"/>
        </w:rPr>
        <w:t xml:space="preserve">1.项目编号：JSZC-320900-JCJS-D2026-0005</w:t>
      </w:r>
      <w:r/>
    </w:p>
    <w:p>
      <w:pPr>
        <w:pStyle w:val="2476"/>
        <w:ind w:firstLine="480"/>
        <w:jc w:val="both"/>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盐城市公安局交警支队涉案车辆清拖及存放服务采购项目</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3.采购方式：单一来源采购</w:t>
      </w:r>
      <w:r/>
    </w:p>
    <w:p>
      <w:pPr>
        <w:pStyle w:val="2476"/>
        <w:ind w:firstLine="480"/>
        <w:jc w:val="both"/>
        <w:spacing w:beforeAutospacing="0" w:afterAutospacing="0"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161.94</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p>
    <w:p>
      <w:pPr>
        <w:pStyle w:val="2476"/>
        <w:ind w:firstLine="480"/>
        <w:jc w:val="both"/>
        <w:spacing w:beforeAutospacing="0" w:afterAutospacing="0"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161.94</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6.采购需求（简介）：</w:t>
      </w:r>
      <w:r>
        <w:rPr>
          <w:rFonts w:hint="eastAsia" w:ascii="宋体" w:hAnsi="宋体" w:cs="宋体"/>
          <w:color w:val="auto"/>
          <w:sz w:val="24"/>
          <w:szCs w:val="24"/>
          <w:highlight w:val="none"/>
          <w:lang w:eastAsia="zh-CN"/>
        </w:rPr>
        <w:t xml:space="preserve">盐城市公安局交警支队涉案车辆清拖及存放服务</w:t>
      </w:r>
      <w:r>
        <w:rPr>
          <w:rFonts w:hint="eastAsia" w:ascii="宋体" w:hAnsi="宋体" w:cs="宋体"/>
          <w:color w:val="auto"/>
          <w:sz w:val="24"/>
          <w:szCs w:val="24"/>
          <w:highlight w:val="none"/>
        </w:rPr>
        <w:t xml:space="preserve">，详细内容见本单一来源文件第四章。</w:t>
      </w:r>
      <w:r/>
    </w:p>
    <w:p>
      <w:pPr>
        <w:pStyle w:val="2476"/>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至2026年12月31日。</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8.本项目不接受联合体参与单一来源采购活动。</w:t>
      </w:r>
      <w:r/>
    </w:p>
    <w:p>
      <w:pPr>
        <w:pStyle w:val="2476"/>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w:t>
      </w:r>
      <w:bookmarkEnd w:id="12"/>
      <w:r/>
      <w:bookmarkEnd w:id="13"/>
      <w:r/>
      <w:bookmarkEnd w:id="14"/>
      <w:r/>
      <w:bookmarkEnd w:id="15"/>
      <w:r/>
      <w:bookmarkEnd w:id="16"/>
      <w:r>
        <w:rPr>
          <w:rFonts w:hint="eastAsia" w:ascii="宋体" w:hAnsi="宋体" w:cs="宋体"/>
          <w:b/>
          <w:color w:val="auto"/>
          <w:sz w:val="24"/>
          <w:szCs w:val="24"/>
          <w:highlight w:val="none"/>
        </w:rPr>
        <w:t xml:space="preserve">合格单一来源供应商资格要求</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1.2上一年度的财务状况报告（成立不满一年无需提供）；</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1.3具备履行合同所必需的设备和专业技术能力的书面声明；</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1.8单位负责人为同一人或者存在直接控股、管理关系的不同供应商，不得参加同一合同项下的政府采购活动。</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微企业采购。采购标的的所属行业为租赁和商务服务业，投标人需按照采购文件的要求提供相应的《中小微企业声明函》。企业标准请参照《关于印发中小企业划型标准规定的通知》（工信部联企业[2011]300号）文件规定自行填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pStyle w:val="2476"/>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三、获取单一来源文件</w:t>
      </w:r>
      <w:r/>
    </w:p>
    <w:p>
      <w:pPr>
        <w:pStyle w:val="2476"/>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1.时间：自采购文件在苏采云系统发布之日起至投标截止时间前。</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 </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4.售价：0元</w:t>
      </w:r>
      <w:r/>
    </w:p>
    <w:p>
      <w:pPr>
        <w:pStyle w:val="2476"/>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17" w:name="_Toc38985266"/>
      <w:r/>
      <w:bookmarkStart w:id="18" w:name="_Toc35393624"/>
      <w:r/>
      <w:bookmarkStart w:id="19" w:name="_Toc35393793"/>
      <w:r/>
      <w:bookmarkStart w:id="20" w:name="_Toc28359005"/>
      <w:r/>
      <w:bookmarkStart w:id="21" w:name="_Toc28359082"/>
      <w:r>
        <w:rPr>
          <w:rFonts w:hint="eastAsia" w:ascii="宋体" w:hAnsi="宋体" w:cs="宋体"/>
          <w:b/>
          <w:color w:val="auto"/>
          <w:sz w:val="24"/>
          <w:szCs w:val="24"/>
          <w:highlight w:val="none"/>
        </w:rPr>
        <w:t xml:space="preserve">三、提交</w:t>
      </w:r>
      <w:bookmarkEnd w:id="17"/>
      <w:r/>
      <w:bookmarkEnd w:id="18"/>
      <w:r>
        <w:rPr>
          <w:rFonts w:hint="eastAsia" w:ascii="宋体" w:hAnsi="宋体" w:cs="宋体"/>
          <w:b/>
          <w:color w:val="auto"/>
          <w:sz w:val="24"/>
          <w:szCs w:val="24"/>
          <w:highlight w:val="none"/>
        </w:rPr>
        <w:t xml:space="preserve">响应文件截止时间</w:t>
      </w:r>
      <w:bookmarkEnd w:id="19"/>
      <w:r/>
      <w:bookmarkEnd w:id="20"/>
      <w:r/>
      <w:bookmarkEnd w:id="21"/>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22" w:name="_Toc38985269"/>
      <w:r/>
      <w:bookmarkStart w:id="23" w:name="_Toc35393627"/>
      <w:r/>
      <w:bookmarkStart w:id="24" w:name="_Toc28359008"/>
      <w:r/>
      <w:bookmarkStart w:id="25" w:name="_Toc28359085"/>
      <w:r/>
      <w:bookmarkStart w:id="26" w:name="_Toc35393796"/>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lang w:val="en-US"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25</w:t>
      </w:r>
      <w:r>
        <w:rPr>
          <w:rFonts w:hint="eastAsia" w:ascii="宋体" w:hAnsi="宋体" w:cs="宋体"/>
          <w:color w:val="auto"/>
          <w:sz w:val="24"/>
          <w:szCs w:val="24"/>
          <w:highlight w:val="none"/>
          <w:u w:val="single"/>
        </w:rPr>
        <w:t xml:space="preserve">日14</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2.地点：苏采云“不见面”开标大厅 。</w:t>
      </w:r>
      <w:r/>
    </w:p>
    <w:p>
      <w:pPr>
        <w:pStyle w:val="2476"/>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四、其他</w:t>
      </w:r>
      <w:bookmarkEnd w:id="22"/>
      <w:r/>
      <w:bookmarkEnd w:id="23"/>
      <w:r/>
      <w:bookmarkEnd w:id="24"/>
      <w:r/>
      <w:bookmarkEnd w:id="25"/>
      <w:r/>
      <w:bookmarkEnd w:id="26"/>
      <w:r/>
      <w:bookmarkStart w:id="27" w:name="_Toc28359086"/>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2.潜在投标人访问电子招标响应交易平台的网络地址和方法：</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潜在投标人访问“苏采云”系统方法：江苏省政府采购网首页-“苏采云”链接。</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招标文件（后缀名为“.kedt”）、投标人操作手册及政府采购客户端工具可通过“苏采云”系统相应链接进行下载。</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采购代理机构将数据电文形式的招标文件加载至“苏采云”系统，供潜在投标人下载或者查阅。</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请潜在投标单位提前安装相应的控件（详见《“苏采云”系统投标人操作手册》）并使用谷歌浏览器登录“苏采云”系统参与不见面开评标。</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如潜在投标人未按上述要求操作，将自行承担所产生的风险。</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3.有关本次招标的事项若存在变动或修改，敬请及时关注在“中国政府采购网”、“江苏政府采购网”、“盐城市政府采购网”发布的更正公告。</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4.本次招标不收取投标保证金，不收取质量保证金</w:t>
      </w:r>
      <w:r>
        <w:rPr>
          <w:rFonts w:hint="eastAsia" w:ascii="宋体" w:hAnsi="宋体" w:cs="宋体"/>
          <w:color w:val="auto"/>
          <w:sz w:val="24"/>
          <w:szCs w:val="24"/>
          <w:highlight w:val="none"/>
        </w:rPr>
        <w:t xml:space="preserve">。</w:t>
      </w:r>
      <w:r/>
    </w:p>
    <w:p>
      <w:pPr>
        <w:pStyle w:val="2476"/>
        <w:numPr>
          <w:ilvl w:val="0"/>
          <w:numId w:val="0"/>
        </w:numPr>
        <w:ind w:firstLine="482"/>
        <w:jc w:val="both"/>
        <w:spacing w:beforeAutospacing="0" w:afterAutospacing="0" w:line="480" w:lineRule="exact"/>
        <w:tabs>
          <w:tab w:val="left" w:pos="901"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五、凡对本次采购提出询问，请按以下方式联系。</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称：盐城市公安局  </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地址：盐城市平安路9号 </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联系人：江警官              </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联系方式：0515-83220095     </w:t>
      </w:r>
      <w:bookmarkStart w:id="28" w:name="_Toc28359009"/>
      <w:r/>
      <w:bookmarkEnd w:id="28"/>
      <w:r>
        <w:rPr>
          <w:rFonts w:hint="eastAsia" w:ascii="宋体" w:hAnsi="宋体" w:cs="宋体"/>
          <w:color w:val="auto"/>
          <w:sz w:val="24"/>
          <w:szCs w:val="24"/>
          <w:highlight w:val="none"/>
        </w:rPr>
        <w:t xml:space="preserve">       </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Start w:id="29" w:name="_Toc28359010"/>
      <w:r/>
      <w:bookmarkStart w:id="30" w:name="_Toc28359087"/>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称：江苏捷诚建设项目管理咨询有限公司</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址：盐城市盐都区紫金大厦506室</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联系人：吉胜                     </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联系方式：18912509153       </w:t>
      </w:r>
      <w:bookmarkEnd w:id="29"/>
      <w:r/>
      <w:bookmarkEnd w:id="30"/>
      <w:r>
        <w:rPr>
          <w:rFonts w:hint="eastAsia" w:ascii="宋体" w:hAnsi="宋体" w:cs="宋体"/>
          <w:color w:val="auto"/>
          <w:sz w:val="24"/>
          <w:szCs w:val="24"/>
          <w:highlight w:val="none"/>
        </w:rPr>
        <w:t xml:space="preserve">            </w:t>
      </w:r>
      <w:bookmarkStart w:id="31" w:name="_Toc28359021"/>
      <w:r/>
      <w:bookmarkEnd w:id="31"/>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项目联系人：江警官</w:t>
      </w:r>
      <w:r/>
    </w:p>
    <w:p>
      <w:pPr>
        <w:pStyle w:val="2476"/>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话：0515-83220095　　　　　　　　　　　　</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2476"/>
        <w:jc w:val="center"/>
        <w:keepLines/>
        <w:keepNext/>
        <w:spacing w:before="260" w:beforeAutospacing="0" w:after="260" w:afterAutospacing="0" w:line="415" w:lineRule="auto"/>
        <w:rPr>
          <w:rFonts w:hint="default"/>
          <w:color w:val="auto"/>
          <w:sz w:val="24"/>
          <w:szCs w:val="24"/>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2476"/>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33" w:name="_Toc20823275"/>
      <w:r/>
      <w:bookmarkStart w:id="34" w:name="_Toc120614214"/>
      <w:r/>
      <w:bookmarkStart w:id="35" w:name="_Toc16938519"/>
      <w:r/>
      <w:bookmarkStart w:id="36" w:name="_Toc513029203"/>
      <w:r>
        <w:rPr>
          <w:rFonts w:hint="eastAsia" w:ascii="宋体" w:hAnsi="宋体" w:cs="宋体"/>
          <w:b/>
          <w:color w:val="auto"/>
          <w:sz w:val="24"/>
          <w:szCs w:val="24"/>
          <w:highlight w:val="none"/>
        </w:rPr>
        <w:t xml:space="preserve">一、总则</w:t>
      </w:r>
      <w:bookmarkEnd w:id="33"/>
      <w:r/>
      <w:bookmarkEnd w:id="34"/>
      <w:r/>
      <w:bookmarkEnd w:id="35"/>
      <w:r/>
      <w:bookmarkEnd w:id="36"/>
      <w:r/>
      <w:r/>
    </w:p>
    <w:p>
      <w:pPr>
        <w:pStyle w:val="2476"/>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37" w:name="_Toc20823276"/>
      <w:r/>
      <w:bookmarkStart w:id="38" w:name="_Toc458694821"/>
      <w:r/>
      <w:bookmarkStart w:id="39" w:name="_Toc513029204"/>
      <w:r/>
      <w:bookmarkStart w:id="40" w:name="_Toc16938520"/>
      <w:r/>
      <w:bookmarkStart w:id="41" w:name="_Hlt16619475"/>
      <w:r>
        <w:rPr>
          <w:rFonts w:hint="eastAsia" w:ascii="宋体" w:hAnsi="宋体" w:cs="宋体"/>
          <w:color w:val="auto"/>
          <w:sz w:val="24"/>
          <w:szCs w:val="24"/>
          <w:highlight w:val="none"/>
        </w:rPr>
        <w:t xml:space="preserve">1</w:t>
      </w:r>
      <w:bookmarkEnd w:id="37"/>
      <w:r>
        <w:rPr>
          <w:rFonts w:hint="eastAsia" w:ascii="宋体" w:hAnsi="宋体" w:cs="宋体"/>
          <w:color w:val="auto"/>
          <w:sz w:val="24"/>
          <w:szCs w:val="24"/>
          <w:highlight w:val="none"/>
        </w:rPr>
        <w:t xml:space="preserve">、采购方式</w:t>
      </w:r>
      <w:bookmarkEnd w:id="38"/>
      <w:r/>
      <w:bookmarkEnd w:id="39"/>
      <w:r/>
      <w:bookmarkEnd w:id="40"/>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本次政府采购活动采取单一来源采购方式。</w:t>
      </w:r>
      <w:r/>
    </w:p>
    <w:p>
      <w:pPr>
        <w:pStyle w:val="2476"/>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42" w:name="_Toc513029205"/>
      <w:r/>
      <w:bookmarkStart w:id="43" w:name="_Toc16938521"/>
      <w:r/>
      <w:bookmarkStart w:id="44" w:name="_Toc20823277"/>
      <w:r>
        <w:rPr>
          <w:rFonts w:hint="eastAsia" w:ascii="宋体" w:hAnsi="宋体" w:cs="宋体"/>
          <w:color w:val="auto"/>
          <w:sz w:val="24"/>
          <w:szCs w:val="24"/>
          <w:highlight w:val="none"/>
        </w:rPr>
        <w:t xml:space="preserve">2、合格的</w:t>
      </w:r>
      <w:bookmarkEnd w:id="42"/>
      <w:r/>
      <w:bookmarkEnd w:id="43"/>
      <w:r/>
      <w:bookmarkEnd w:id="44"/>
      <w:r>
        <w:rPr>
          <w:rFonts w:hint="eastAsia" w:ascii="宋体" w:hAnsi="宋体" w:cs="宋体"/>
          <w:color w:val="auto"/>
          <w:sz w:val="24"/>
          <w:szCs w:val="24"/>
          <w:highlight w:val="none"/>
        </w:rPr>
        <w:t xml:space="preserve">供应商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45" w:name="_Toc513029206"/>
      <w:r/>
      <w:bookmarkStart w:id="46" w:name="_Toc16938522"/>
      <w:r/>
      <w:bookmarkStart w:id="47" w:name="_Toc20823278"/>
      <w:r>
        <w:rPr>
          <w:rFonts w:hint="eastAsia" w:ascii="宋体" w:hAnsi="宋体" w:cs="宋体"/>
          <w:color w:val="auto"/>
          <w:sz w:val="24"/>
          <w:szCs w:val="24"/>
          <w:highlight w:val="none"/>
        </w:rPr>
        <w:t xml:space="preserve">2. 1 满足采购文件中合格单一来源供应商资格要求的规定。</w:t>
      </w:r>
      <w:bookmarkEnd w:id="45"/>
      <w:r/>
      <w:bookmarkEnd w:id="46"/>
      <w:r/>
      <w:bookmarkEnd w:id="47"/>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2 满足本采购文件实质性条款的规定。</w:t>
      </w:r>
      <w:r/>
    </w:p>
    <w:p>
      <w:pPr>
        <w:ind w:firstLine="480"/>
        <w:spacing w:line="480" w:lineRule="exact"/>
        <w:rPr>
          <w:rFonts w:hint="eastAsia" w:ascii="方正魏碑_GBK" w:hAnsi="方正魏碑_GBK" w:eastAsia="方正魏碑_GBK" w:cs="方正魏碑_GBK"/>
          <w:color w:val="auto"/>
          <w:sz w:val="24"/>
          <w:szCs w:val="21"/>
          <w:highlight w:val="none"/>
        </w:rPr>
      </w:pPr>
      <w:r/>
      <w:bookmarkStart w:id="48" w:name="_Toc462564067"/>
      <w:r/>
      <w:bookmarkStart w:id="49" w:name="_Toc513029207"/>
      <w:r/>
      <w:bookmarkStart w:id="50" w:name="_Toc20823279"/>
      <w:r/>
      <w:bookmarkStart w:id="51" w:name="_Toc16938523"/>
      <w:r>
        <w:rPr>
          <w:rFonts w:hint="eastAsia" w:ascii="方正魏碑_GBK" w:hAnsi="方正魏碑_GBK" w:eastAsia="方正魏碑_GBK" w:cs="方正魏碑_GBK"/>
          <w:color w:val="auto"/>
          <w:sz w:val="24"/>
          <w:szCs w:val="21"/>
          <w:highlight w:val="none"/>
        </w:rPr>
        <w:t xml:space="preserve">3、适用法律和标准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0"/>
        <w:spacing w:line="480" w:lineRule="exact"/>
        <w:rPr>
          <w:rFonts w:hint="eastAsia" w:ascii="宋体" w:hAnsi="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2476"/>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4、相关费用</w:t>
      </w:r>
      <w:bookmarkEnd w:id="48"/>
      <w:r/>
      <w:bookmarkEnd w:id="49"/>
      <w:r/>
      <w:bookmarkEnd w:id="50"/>
      <w:r/>
      <w:bookmarkEnd w:id="51"/>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4.1供应商应自行承担所有与参加本次采购有关的费用，无论采购过程中的做法和结果如何，采购人和代理机构在任何情况下均无义务和责任承担这些费用。</w:t>
      </w:r>
      <w:r/>
    </w:p>
    <w:p>
      <w:pPr>
        <w:pStyle w:val="2476"/>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5、</w:t>
      </w:r>
      <w:r>
        <w:rPr>
          <w:rFonts w:hint="eastAsia" w:ascii="宋体" w:hAnsi="宋体" w:cs="宋体"/>
          <w:color w:val="auto"/>
          <w:sz w:val="24"/>
          <w:szCs w:val="24"/>
          <w:highlight w:val="none"/>
        </w:rPr>
        <w:t xml:space="preserve">采购文件的约束力</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2476"/>
        <w:ind w:firstLine="482"/>
        <w:jc w:val="both"/>
        <w:spacing w:beforeAutospacing="0" w:afterAutospacing="0" w:line="480" w:lineRule="exact"/>
        <w:rPr>
          <w:rFonts w:hint="eastAsia" w:ascii="宋体" w:hAnsi="宋体" w:cs="宋体"/>
          <w:color w:val="auto"/>
          <w:sz w:val="24"/>
          <w:szCs w:val="24"/>
          <w:highlight w:val="none"/>
        </w:rPr>
      </w:pPr>
      <w:r/>
      <w:bookmarkStart w:id="52" w:name="_Toc120614215"/>
      <w:r/>
      <w:bookmarkStart w:id="53" w:name="_Toc20823281"/>
      <w:r/>
      <w:bookmarkStart w:id="54" w:name="_Toc513029209"/>
      <w:r/>
      <w:bookmarkStart w:id="55" w:name="_Toc16938525"/>
      <w:r>
        <w:rPr>
          <w:rFonts w:hint="eastAsia" w:ascii="宋体" w:hAnsi="宋体" w:cs="宋体"/>
          <w:b/>
          <w:color w:val="auto"/>
          <w:sz w:val="24"/>
          <w:szCs w:val="24"/>
          <w:highlight w:val="none"/>
        </w:rPr>
        <w:t xml:space="preserve">二、</w:t>
      </w:r>
      <w:bookmarkEnd w:id="52"/>
      <w:r/>
      <w:bookmarkEnd w:id="53"/>
      <w:r/>
      <w:bookmarkEnd w:id="54"/>
      <w:r/>
      <w:bookmarkEnd w:id="55"/>
      <w:r>
        <w:rPr>
          <w:rFonts w:hint="eastAsia" w:ascii="宋体" w:hAnsi="宋体" w:cs="宋体"/>
          <w:b/>
          <w:color w:val="auto"/>
          <w:sz w:val="24"/>
          <w:szCs w:val="24"/>
          <w:highlight w:val="none"/>
        </w:rPr>
        <w:t xml:space="preserve">采购文件</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56" w:name="_Toc16938526"/>
      <w:r/>
      <w:bookmarkStart w:id="57" w:name="_Toc513029210"/>
      <w:r/>
      <w:bookmarkStart w:id="58" w:name="_Toc20823282"/>
      <w:r>
        <w:rPr>
          <w:rFonts w:hint="eastAsia" w:ascii="宋体" w:hAnsi="宋体" w:cs="宋体"/>
          <w:color w:val="auto"/>
          <w:sz w:val="24"/>
          <w:szCs w:val="24"/>
          <w:highlight w:val="none"/>
        </w:rPr>
        <w:t xml:space="preserve">6、采购文件构成</w:t>
      </w:r>
      <w:bookmarkEnd w:id="56"/>
      <w:r/>
      <w:bookmarkEnd w:id="57"/>
      <w:r/>
      <w:bookmarkEnd w:id="58"/>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6.1采购文件由以下部分组成：</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（1）单一来源采购邀请</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（5）响应文件格式</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2476"/>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59" w:name="_Toc16938527"/>
      <w:r/>
      <w:bookmarkStart w:id="60" w:name="_Toc20823283"/>
      <w:r/>
      <w:bookmarkStart w:id="61" w:name="_Toc462564070"/>
      <w:r/>
      <w:bookmarkStart w:id="62" w:name="_Toc513029211"/>
      <w:r>
        <w:rPr>
          <w:rFonts w:hint="eastAsia" w:ascii="宋体" w:hAnsi="宋体" w:cs="宋体"/>
          <w:color w:val="auto"/>
          <w:sz w:val="24"/>
          <w:szCs w:val="24"/>
          <w:highlight w:val="none"/>
        </w:rPr>
        <w:t xml:space="preserve">7、采购文件的澄清</w:t>
      </w:r>
      <w:bookmarkEnd w:id="59"/>
      <w:r/>
      <w:bookmarkEnd w:id="60"/>
      <w:r/>
      <w:bookmarkEnd w:id="61"/>
      <w:r/>
      <w:bookmarkEnd w:id="62"/>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63" w:name="_Toc462564071"/>
      <w:r/>
      <w:bookmarkStart w:id="64" w:name="_Toc16938528"/>
      <w:r/>
      <w:bookmarkStart w:id="65" w:name="_Toc513029212"/>
      <w:r/>
      <w:bookmarkStart w:id="66" w:name="_Toc20823284"/>
      <w:r>
        <w:rPr>
          <w:rFonts w:hint="eastAsia" w:ascii="宋体" w:hAnsi="宋体" w:cs="宋体"/>
          <w:color w:val="auto"/>
          <w:sz w:val="24"/>
          <w:szCs w:val="24"/>
          <w:highlight w:val="none"/>
        </w:rPr>
        <w:t xml:space="preserve">7.1 供应商如果要求对采购文件进行澄清的，应在响应文件接收截止时间（以下简称“截止时间”）</w:t>
      </w:r>
      <w:r>
        <w:rPr>
          <w:rFonts w:hint="eastAsia" w:ascii="宋体" w:hAnsi="宋体" w:cs="宋体"/>
          <w:b/>
          <w:color w:val="auto"/>
          <w:sz w:val="24"/>
          <w:szCs w:val="24"/>
          <w:highlight w:val="none"/>
        </w:rPr>
        <w:t xml:space="preserve">三天</w:t>
      </w:r>
      <w:r>
        <w:rPr>
          <w:rFonts w:hint="eastAsia" w:ascii="宋体" w:hAnsi="宋体" w:cs="宋体"/>
          <w:color w:val="auto"/>
          <w:sz w:val="24"/>
          <w:szCs w:val="24"/>
          <w:highlight w:val="none"/>
        </w:rPr>
        <w:t xml:space="preserve">前，在苏采云系统中通知代理机构。代理机构将在苏采云系统中对澄清要求予以答复。</w:t>
      </w:r>
      <w:bookmarkEnd w:id="63"/>
      <w:r/>
      <w:bookmarkEnd w:id="64"/>
      <w:r/>
      <w:bookmarkEnd w:id="65"/>
      <w:r/>
      <w:bookmarkEnd w:id="66"/>
      <w:r/>
      <w:r/>
    </w:p>
    <w:p>
      <w:pPr>
        <w:pStyle w:val="2476"/>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67" w:name="_Toc513029213"/>
      <w:r/>
      <w:bookmarkStart w:id="68" w:name="_Toc462564072"/>
      <w:r/>
      <w:bookmarkStart w:id="69" w:name="_Toc120614216"/>
      <w:r/>
      <w:bookmarkStart w:id="70" w:name="_Toc16938529"/>
      <w:r/>
      <w:bookmarkStart w:id="71" w:name="_Toc20823285"/>
      <w:r>
        <w:rPr>
          <w:rFonts w:hint="eastAsia" w:ascii="宋体" w:hAnsi="宋体" w:cs="宋体"/>
          <w:color w:val="auto"/>
          <w:sz w:val="24"/>
          <w:szCs w:val="24"/>
          <w:highlight w:val="none"/>
        </w:rPr>
        <w:t xml:space="preserve">8、采购文件的修改</w:t>
      </w:r>
      <w:bookmarkEnd w:id="67"/>
      <w:r/>
      <w:bookmarkEnd w:id="68"/>
      <w:r/>
      <w:bookmarkEnd w:id="69"/>
      <w:r/>
      <w:bookmarkEnd w:id="70"/>
      <w:r/>
      <w:bookmarkEnd w:id="71"/>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在截止时间前，代理机构可以以补充文件的方式对采购文件进行修改。</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8.2代理机构有权按照政府采购的有关要求推迟截止时间。</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8.3采购文件的补充文件将作为采购文件的组成部分，并对供应商具有约束力。</w:t>
      </w:r>
      <w:r/>
    </w:p>
    <w:p>
      <w:pPr>
        <w:pStyle w:val="2476"/>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三、响应文件的编制</w:t>
      </w:r>
      <w:r/>
    </w:p>
    <w:p>
      <w:pPr>
        <w:pStyle w:val="2476"/>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72" w:name="_Toc513029214"/>
      <w:r/>
      <w:bookmarkStart w:id="73" w:name="_Toc20823286"/>
      <w:r/>
      <w:bookmarkStart w:id="74" w:name="_Toc462564073"/>
      <w:r/>
      <w:bookmarkStart w:id="75" w:name="_Toc16938530"/>
      <w:r>
        <w:rPr>
          <w:rFonts w:hint="eastAsia" w:ascii="宋体" w:hAnsi="宋体" w:cs="宋体"/>
          <w:color w:val="auto"/>
          <w:sz w:val="24"/>
          <w:szCs w:val="24"/>
          <w:highlight w:val="none"/>
        </w:rPr>
        <w:t xml:space="preserve">9、响应文件的语言及度量衡单位</w:t>
      </w:r>
      <w:bookmarkEnd w:id="72"/>
      <w:r/>
      <w:bookmarkEnd w:id="73"/>
      <w:r/>
      <w:bookmarkEnd w:id="74"/>
      <w:r/>
      <w:bookmarkEnd w:id="75"/>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9.1供应商提交的响应文件以及供应商与代理机构就有关采购活动的所有来往通知、函件和文件均应使用</w:t>
      </w:r>
      <w:r>
        <w:rPr>
          <w:rFonts w:hint="eastAsia" w:ascii="宋体" w:hAnsi="宋体" w:cs="宋体"/>
          <w:b/>
          <w:color w:val="auto"/>
          <w:sz w:val="24"/>
          <w:szCs w:val="24"/>
          <w:highlight w:val="none"/>
        </w:rPr>
        <w:t xml:space="preserve">简体中文</w:t>
      </w:r>
      <w:r>
        <w:rPr>
          <w:rFonts w:hint="eastAsia" w:ascii="宋体" w:hAnsi="宋体" w:cs="宋体"/>
          <w:color w:val="auto"/>
          <w:sz w:val="24"/>
          <w:szCs w:val="24"/>
          <w:highlight w:val="none"/>
        </w:rPr>
        <w:t xml:space="preserve">。</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76" w:name="_Toc20823287"/>
      <w:r/>
      <w:bookmarkStart w:id="77" w:name="_Toc16938531"/>
      <w:r/>
      <w:bookmarkStart w:id="78" w:name="_Toc513029215"/>
      <w:r/>
      <w:bookmarkStart w:id="79" w:name="_Toc462564074"/>
      <w:r>
        <w:rPr>
          <w:rFonts w:hint="eastAsia" w:ascii="宋体" w:hAnsi="宋体" w:cs="宋体"/>
          <w:color w:val="auto"/>
          <w:sz w:val="24"/>
          <w:szCs w:val="24"/>
          <w:highlight w:val="none"/>
        </w:rPr>
        <w:t xml:space="preserve">10、响应文件构成</w:t>
      </w:r>
      <w:bookmarkEnd w:id="76"/>
      <w:r/>
      <w:bookmarkEnd w:id="77"/>
      <w:r/>
      <w:bookmarkEnd w:id="78"/>
      <w:r/>
      <w:bookmarkEnd w:id="79"/>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80" w:name="_Toc14577357"/>
      <w:r/>
      <w:bookmarkStart w:id="81" w:name="_Toc49090509"/>
      <w:r/>
      <w:bookmarkStart w:id="82" w:name="_Toc513029216"/>
      <w:r/>
      <w:bookmarkStart w:id="83" w:name="_Toc513029219"/>
      <w:r/>
      <w:bookmarkStart w:id="84" w:name="_Toc49090507"/>
      <w:r/>
      <w:bookmarkStart w:id="85" w:name="_Toc49090508"/>
      <w:r/>
      <w:bookmarkStart w:id="86" w:name="_Toc14577354"/>
      <w:r/>
      <w:bookmarkStart w:id="87" w:name="_Toc14577355"/>
      <w:r/>
      <w:bookmarkStart w:id="88" w:name="_Hlt26954838"/>
      <w:r/>
      <w:bookmarkStart w:id="89" w:name="_Hlt26670360"/>
      <w:r/>
      <w:bookmarkStart w:id="90" w:name="_Hlt26668975"/>
      <w:r>
        <w:rPr>
          <w:rFonts w:hint="eastAsia" w:ascii="宋体" w:hAnsi="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11、证明供应商及响应标的符合采购文件规定的文件</w:t>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11.1 供应商应按照法律、法规、规章和规范性文件以及采购文件要求提交证明文件，证明其响应标的符合采购文件规定。</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11.2采购文件对证明文件无明确形式要求的，证明文件可以以文字资料、图纸和数据等形式提交。</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12、分项报价表</w:t>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91" w:name="_Hlt26954731"/>
      <w:r/>
      <w:bookmarkStart w:id="92" w:name="_Hlt26670486"/>
      <w:r/>
      <w:bookmarkStart w:id="93" w:name="_Hlt26954846"/>
      <w:r/>
      <w:bookmarkStart w:id="94" w:name="_Hlt26670482"/>
      <w:r/>
      <w:bookmarkStart w:id="95" w:name="_Hlt26954848"/>
      <w:r>
        <w:rPr>
          <w:rFonts w:hint="eastAsia" w:ascii="宋体" w:hAnsi="宋体" w:cs="宋体"/>
          <w:color w:val="auto"/>
          <w:sz w:val="24"/>
          <w:szCs w:val="24"/>
          <w:highlight w:val="none"/>
        </w:rPr>
        <w:t xml:space="preserve">12.1 供应商应按照采购文件规定格式填报分项报价表。</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12.2报价货币。响应文件中的单价和总价无特殊规定的采用人民币报价，以元为单位标注。采购文件中另有规定的按规定执行。</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13、技术要求响应及偏离表、商务要求响应及偏离表</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13.1供应商需对采购文件中的技术要求与商务要求逐项作出响应或偏离，并说明原因。</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6" w:name="_Toc49090510"/>
      <w:r/>
      <w:bookmarkStart w:id="97" w:name="_Toc14577359"/>
      <w:r>
        <w:rPr>
          <w:rFonts w:hint="eastAsia" w:ascii="宋体" w:hAnsi="宋体" w:cs="宋体"/>
          <w:color w:val="auto"/>
          <w:sz w:val="24"/>
          <w:szCs w:val="24"/>
          <w:highlight w:val="none"/>
        </w:rPr>
        <w:t xml:space="preserve">14、服务承诺、培训计划、人员安排及其他</w:t>
      </w:r>
      <w:bookmarkEnd w:id="96"/>
      <w:r/>
      <w:bookmarkEnd w:id="97"/>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供应商需根据采购文件要求提供有关售后服务的管理制度，售后服务机构的分布情况，售后服务人员的数量、素质、技术水平及售后服务的反应能力等。</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供应商需根据采购文件要求提供培训计划。</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供应商需根据采购文件要求提供所投标的的主要组成部分、功能设计、实现思路及关键技术等。</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8" w:name="_Toc14577360"/>
      <w:r/>
      <w:bookmarkStart w:id="99" w:name="_Toc49090511"/>
      <w:r>
        <w:rPr>
          <w:rFonts w:hint="eastAsia" w:ascii="宋体" w:hAnsi="宋体" w:cs="宋体"/>
          <w:color w:val="auto"/>
          <w:sz w:val="24"/>
          <w:szCs w:val="24"/>
          <w:highlight w:val="none"/>
        </w:rPr>
        <w:t xml:space="preserve">15、单一来源响应函</w:t>
      </w:r>
      <w:bookmarkEnd w:id="98"/>
      <w:r/>
      <w:bookmarkEnd w:id="99"/>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供应商应按照采购文件中提供的格式完整、正确填写单一来源响应函。</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16、单一来源采购有效期</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单一来源采购有效期（以下简称“有效期”）为代理机构规定的响应文件接收截止之日后</w:t>
      </w:r>
      <w:r>
        <w:rPr>
          <w:rFonts w:hint="eastAsia" w:ascii="宋体" w:hAnsi="宋体" w:cs="宋体"/>
          <w:b/>
          <w:color w:val="auto"/>
          <w:sz w:val="24"/>
          <w:szCs w:val="24"/>
          <w:highlight w:val="none"/>
          <w:u w:val="single"/>
        </w:rPr>
        <w:t xml:space="preserve">三十（30）天</w:t>
      </w:r>
      <w:r>
        <w:rPr>
          <w:rFonts w:hint="eastAsia" w:ascii="宋体" w:hAnsi="宋体" w:cs="宋体"/>
          <w:color w:val="auto"/>
          <w:sz w:val="24"/>
          <w:szCs w:val="24"/>
          <w:highlight w:val="none"/>
        </w:rPr>
        <w:t xml:space="preserve">。有效期比规定期限短的将被视为未响应采购文件要求而予以拒绝。</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17、有效期的延长</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pStyle w:val="2476"/>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00" w:name="_Toc120614217"/>
      <w:r/>
      <w:bookmarkStart w:id="101" w:name="_Toc20823296"/>
      <w:r/>
      <w:bookmarkStart w:id="102" w:name="_Toc513029224"/>
      <w:r/>
      <w:bookmarkStart w:id="103" w:name="_Toc16938540"/>
      <w:r/>
      <w:bookmarkStart w:id="104" w:name="_Hlt26954852"/>
      <w:r/>
      <w:bookmarkStart w:id="105" w:name="_Hlt26954739"/>
      <w:r>
        <w:rPr>
          <w:rFonts w:hint="eastAsia" w:ascii="宋体" w:hAnsi="宋体" w:cs="宋体"/>
          <w:b/>
          <w:color w:val="auto"/>
          <w:sz w:val="24"/>
          <w:szCs w:val="24"/>
          <w:highlight w:val="none"/>
        </w:rPr>
        <w:t xml:space="preserve">四、响应文件的递交</w:t>
      </w:r>
      <w:bookmarkEnd w:id="100"/>
      <w:r/>
      <w:bookmarkEnd w:id="101"/>
      <w:r/>
      <w:bookmarkEnd w:id="102"/>
      <w:r/>
      <w:bookmarkEnd w:id="103"/>
      <w:r/>
      <w:r/>
    </w:p>
    <w:p>
      <w:pPr>
        <w:pStyle w:val="2476"/>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106" w:name="_Toc20823297"/>
      <w:r/>
      <w:bookmarkStart w:id="107" w:name="_Toc513029225"/>
      <w:r/>
      <w:bookmarkStart w:id="108" w:name="_Toc462564084"/>
      <w:r/>
      <w:bookmarkStart w:id="109" w:name="_Toc16938541"/>
      <w:r>
        <w:rPr>
          <w:rFonts w:hint="eastAsia" w:ascii="宋体" w:hAnsi="宋体" w:cs="宋体"/>
          <w:color w:val="auto"/>
          <w:sz w:val="24"/>
          <w:szCs w:val="24"/>
          <w:highlight w:val="none"/>
        </w:rPr>
        <w:t xml:space="preserve">18、电子</w:t>
      </w:r>
      <w:bookmarkEnd w:id="106"/>
      <w:r/>
      <w:bookmarkEnd w:id="107"/>
      <w:r/>
      <w:bookmarkEnd w:id="108"/>
      <w:r/>
      <w:bookmarkEnd w:id="109"/>
      <w:r>
        <w:rPr>
          <w:rFonts w:hint="eastAsia" w:ascii="宋体" w:hAnsi="宋体" w:cs="宋体"/>
          <w:color w:val="auto"/>
          <w:sz w:val="24"/>
          <w:szCs w:val="24"/>
          <w:highlight w:val="none"/>
        </w:rPr>
        <w:t xml:space="preserve">响应文件的递交</w:t>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18.1供应商应当按照《操作手册》规定，在截止时间前制作并上传电子响应文件。</w:t>
      </w:r>
      <w:bookmarkStart w:id="110" w:name="_Toc20823298"/>
      <w:r/>
      <w:bookmarkEnd w:id="110"/>
      <w:r/>
      <w:bookmarkStart w:id="111" w:name="_Toc16938542"/>
      <w:r/>
      <w:bookmarkEnd w:id="111"/>
      <w:r/>
      <w:bookmarkStart w:id="112" w:name="_Toc513029226"/>
      <w:r/>
      <w:r/>
    </w:p>
    <w:p>
      <w:pPr>
        <w:pStyle w:val="2476"/>
        <w:ind w:firstLine="56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19、提交响应文件截止时间</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i/>
          <w:color w:val="auto"/>
          <w:sz w:val="24"/>
          <w:szCs w:val="24"/>
          <w:highlight w:val="none"/>
          <w:u w:val="single"/>
        </w:rPr>
        <w:t xml:space="preserve">19.1供应商上传电子响应文件的时间不得迟于单一来源采购邀请中规定的截止时间。</w:t>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113" w:name="_Toc20823299"/>
      <w:r/>
      <w:bookmarkStart w:id="114" w:name="_Toc16938543"/>
      <w:r/>
      <w:bookmarkStart w:id="115" w:name="_Toc513029227"/>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代理机构可以按照规定，通过修改采购文件酌情延长截止时间，在此情况下，供应商的所有权利和义务以及供应商受制的截止时间以延长后新的截止时间为准。</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20、响应文件的拒收</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代理机构拒绝接收在其规定的截止时间后上传的任何电子响应文件。</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16" w:name="_Toc20823300"/>
      <w:r/>
      <w:bookmarkStart w:id="117" w:name="_Toc16938544"/>
      <w:r/>
      <w:bookmarkStart w:id="118" w:name="_Toc513029228"/>
      <w:r>
        <w:rPr>
          <w:rFonts w:hint="eastAsia" w:ascii="宋体" w:hAnsi="宋体" w:cs="宋体"/>
          <w:color w:val="auto"/>
          <w:sz w:val="24"/>
          <w:szCs w:val="24"/>
          <w:highlight w:val="none"/>
        </w:rPr>
        <w:t xml:space="preserve">21、响应文件的撤回和修改</w:t>
      </w:r>
      <w:bookmarkEnd w:id="116"/>
      <w:r/>
      <w:bookmarkEnd w:id="117"/>
      <w:r/>
      <w:bookmarkEnd w:id="118"/>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供应商可在截止时间前，撤回其电子响应文件，具体操作方法见《操作手册》。</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21.1.2供应商撤回电子响应文件，则认为其不再参与本项目采购活动。</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供应商可在截止时间前，对其电子响应文件进行修改，具体操作方法见《操作手册》。</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在截止时间之后，供应商不得对其电子响应文件作任何修改。</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在截止时间至有效期满之间的这段时间内，供应商不得撤回其响应文件。</w:t>
      </w:r>
      <w:r/>
    </w:p>
    <w:p>
      <w:pPr>
        <w:pStyle w:val="2476"/>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19" w:name="_Toc20823301"/>
      <w:r/>
      <w:bookmarkStart w:id="120" w:name="_Toc120614218"/>
      <w:r/>
      <w:bookmarkStart w:id="121" w:name="_Toc16938545"/>
      <w:r/>
      <w:bookmarkStart w:id="122" w:name="_Toc513029229"/>
      <w:r>
        <w:rPr>
          <w:rFonts w:hint="eastAsia" w:ascii="宋体" w:hAnsi="宋体" w:cs="宋体"/>
          <w:b/>
          <w:color w:val="auto"/>
          <w:sz w:val="24"/>
          <w:szCs w:val="24"/>
          <w:highlight w:val="none"/>
        </w:rPr>
        <w:t xml:space="preserve">五、响应文件的解密与评审</w:t>
      </w:r>
      <w:bookmarkEnd w:id="119"/>
      <w:r/>
      <w:bookmarkEnd w:id="120"/>
      <w:r/>
      <w:bookmarkEnd w:id="121"/>
      <w:r/>
      <w:bookmarkEnd w:id="122"/>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3" w:name="_Toc20823302"/>
      <w:r/>
      <w:bookmarkStart w:id="124" w:name="_Toc16938546"/>
      <w:r/>
      <w:bookmarkStart w:id="125" w:name="_Toc513029230"/>
      <w:r>
        <w:rPr>
          <w:rFonts w:hint="eastAsia" w:ascii="宋体" w:hAnsi="宋体" w:cs="宋体"/>
          <w:color w:val="auto"/>
          <w:sz w:val="24"/>
          <w:szCs w:val="24"/>
          <w:highlight w:val="none"/>
        </w:rPr>
        <w:t xml:space="preserve">22、</w:t>
      </w:r>
      <w:bookmarkEnd w:id="123"/>
      <w:r/>
      <w:bookmarkEnd w:id="124"/>
      <w:r/>
      <w:bookmarkEnd w:id="125"/>
      <w:r>
        <w:rPr>
          <w:rFonts w:hint="eastAsia" w:ascii="宋体" w:hAnsi="宋体" w:cs="宋体"/>
          <w:color w:val="auto"/>
          <w:sz w:val="24"/>
          <w:szCs w:val="24"/>
          <w:highlight w:val="none"/>
        </w:rPr>
        <w:t xml:space="preserve">响应文件解密</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22.1供应商应当按照《操作手册》规定，在苏采云系统规定的时间内对响应文件进行解密。</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6" w:name="_Toc16938547"/>
      <w:r/>
      <w:bookmarkStart w:id="127" w:name="_Toc513029231"/>
      <w:r/>
      <w:bookmarkStart w:id="128" w:name="_Toc20823303"/>
      <w:r>
        <w:rPr>
          <w:rFonts w:hint="eastAsia" w:ascii="宋体" w:hAnsi="宋体" w:cs="宋体"/>
          <w:color w:val="auto"/>
          <w:sz w:val="24"/>
          <w:szCs w:val="24"/>
          <w:highlight w:val="none"/>
        </w:rPr>
        <w:t xml:space="preserve">23、单一来源协商小组</w:t>
      </w:r>
      <w:bookmarkEnd w:id="126"/>
      <w:r/>
      <w:bookmarkEnd w:id="127"/>
      <w:r/>
      <w:bookmarkEnd w:id="128"/>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23.1单一来源协商小组（以下简称“协商小组”）由政府采购评审专家、采购人代表组成，且人员构成符合政府采购有关规定。</w:t>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23.2协商小组应当按照客观、公正、审慎的原则评审供应商的响应文件，并与供应商协商采购标的的价格。</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24、单一来源协商过程的保密与公正</w:t>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129" w:name="_Toc513029232"/>
      <w:r/>
      <w:bookmarkStart w:id="130" w:name="_Toc16938548"/>
      <w:r/>
      <w:bookmarkStart w:id="131" w:name="_Toc20823304"/>
      <w:r>
        <w:rPr>
          <w:rFonts w:hint="eastAsia" w:ascii="宋体" w:hAnsi="宋体" w:cs="宋体"/>
          <w:color w:val="auto"/>
          <w:sz w:val="24"/>
          <w:szCs w:val="24"/>
          <w:highlight w:val="none"/>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24.2在协商过程中，供应商不得以任何行为影响评审及协商过程，否则将会导致其响应文件被拒绝。</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25、评审及协商过程中的澄清</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25.1项目评审及协商过程中，协商小组有权要求供应商对响应文件中含义不明确、同类问题表述不一致或者有明显文字和计算错误的内容等作出必要的澄清、说明或者更正。</w:t>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25.3 接到协商小组澄清、说明和更正要求的供应商如未按规定作出澄清、说明和 更正，其风险由供应商自行承担。</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32" w:name="_Toc513029233"/>
      <w:r/>
      <w:bookmarkStart w:id="133" w:name="_Toc16938549"/>
      <w:r/>
      <w:bookmarkStart w:id="134" w:name="_Toc20823305"/>
      <w:r>
        <w:rPr>
          <w:rFonts w:hint="eastAsia" w:ascii="宋体" w:hAnsi="宋体" w:cs="宋体"/>
          <w:color w:val="auto"/>
          <w:sz w:val="24"/>
          <w:szCs w:val="24"/>
          <w:highlight w:val="none"/>
        </w:rPr>
        <w:t xml:space="preserve">26、对响应文件的审</w:t>
      </w:r>
      <w:bookmarkEnd w:id="132"/>
      <w:r/>
      <w:bookmarkEnd w:id="133"/>
      <w:r/>
      <w:bookmarkEnd w:id="134"/>
      <w:r>
        <w:rPr>
          <w:rFonts w:hint="eastAsia" w:ascii="宋体" w:hAnsi="宋体" w:cs="宋体"/>
          <w:color w:val="auto"/>
          <w:sz w:val="24"/>
          <w:szCs w:val="24"/>
          <w:highlight w:val="none"/>
        </w:rPr>
        <w:t xml:space="preserve">查</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26.1响应文件审查分为资格审查和符合性审查。</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 资格审查：由协商小组依据法律法规和采购文件的规定，对响应文件中的资格证明文件进行审查，以确定供应商是否具备参加单一来源协商的资格。</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协商小组在进行资格审查的同时，将在“信用中国”网站（www.creditchina.gov.cn）查询供应商的信用记录，以确定供应商是否具备协商资格,查询结果留存并归档。</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 符合性审查：依据采购文件的规定，由协商小组从响应文件的有效性、完整性和对采购文件的响应程度进行审查，以确定是否对采购文件的实质性要求作出响应。</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26.3未实质性响应采购文件的情形</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26.3.1供应商在苏采云系统规定的时间内未成功解密电子响应文件的。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26.3.2供应商未按照采购文件要求上传电子响应文件的。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26.3.3供应商提交两个（含两个）以上不同的响应文件或者最后报价的。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26.3.4供应商不具备采购文件中规定资格要求的。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26.3.5供应商的最后报价超过了采购预算。</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26.3.6不符合采购文件中规定的实质性要求和条件的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26.3.8响应文件含有采购人不能接受的附加条件的。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26.3.9供应商不能证明其报价合理性的，协商小组应当将其作为无效</w:t>
      </w:r>
      <w:r>
        <w:rPr>
          <w:rFonts w:hint="eastAsia" w:ascii="宋体" w:hAnsi="宋体" w:cs="宋体"/>
          <w:color w:val="000000"/>
          <w:sz w:val="24"/>
          <w:szCs w:val="24"/>
          <w:highlight w:val="none"/>
        </w:rPr>
        <w:t xml:space="preserve">响应</w:t>
      </w:r>
      <w:r>
        <w:rPr>
          <w:rFonts w:hint="eastAsia" w:ascii="宋体" w:hAnsi="宋体" w:cs="宋体"/>
          <w:color w:val="auto"/>
          <w:sz w:val="24"/>
          <w:szCs w:val="24"/>
          <w:highlight w:val="none"/>
        </w:rPr>
        <w:t xml:space="preserve">处理。</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评审过程中出现下列情形之一的，协商小组应当启动异常低价响应审查程序：</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1.投标（响应）报价低于采购项目最高限价45%的，即投标（响应）报价&lt;采购项目最高限价×45%；</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2评审委员会基于专业判断，认为供应商报价过低，有可能影响产品质量或者不能诚信履约的其他情形。</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相关法律法规对供应商报价有规定的，从其规定。</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476"/>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476"/>
        <w:ind w:firstLine="480"/>
        <w:jc w:val="both"/>
        <w:spacing w:beforeAutospacing="0" w:afterAutospacing="0" w:line="480" w:lineRule="exact"/>
        <w:rPr>
          <w:rFonts w:hint="eastAsia" w:ascii="宋体" w:hAnsi="宋体" w:cs="宋体"/>
          <w:b/>
          <w:color w:val="0000ff"/>
          <w:sz w:val="24"/>
          <w:szCs w:val="24"/>
          <w:highlight w:val="none"/>
        </w:rPr>
      </w:pPr>
      <w:r>
        <w:rPr>
          <w:rFonts w:hint="eastAsia" w:ascii="宋体" w:hAnsi="宋体" w:cs="宋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26.3.10响应文件未按照采购文件要求加盖CA电子公章的。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26.4未实质性响应采购文件的响应文件按无效响应处理。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26.5如果响应文件实质上没有响应采购文件的要求，协商小组将予以拒绝。</w:t>
      </w:r>
      <w:r/>
    </w:p>
    <w:p>
      <w:pPr>
        <w:pStyle w:val="2476"/>
        <w:ind w:firstLine="480"/>
        <w:jc w:val="both"/>
        <w:spacing w:beforeAutospacing="0" w:afterAutospacing="0" w:line="480" w:lineRule="exact"/>
        <w:rPr>
          <w:rFonts w:hint="eastAsia" w:ascii="宋体" w:hAnsi="宋体" w:cs="宋体"/>
          <w:color w:val="auto"/>
          <w:sz w:val="24"/>
          <w:szCs w:val="24"/>
          <w:highlight w:val="none"/>
        </w:rPr>
      </w:pPr>
      <w:r/>
      <w:bookmarkStart w:id="135" w:name="_Toc513029234"/>
      <w:r/>
      <w:bookmarkStart w:id="136" w:name="_Toc20823306"/>
      <w:r/>
      <w:bookmarkStart w:id="137" w:name="_Toc16938550"/>
      <w:r>
        <w:rPr>
          <w:rFonts w:hint="eastAsia" w:ascii="宋体" w:hAnsi="宋体" w:cs="宋体"/>
          <w:color w:val="auto"/>
          <w:sz w:val="24"/>
          <w:szCs w:val="24"/>
          <w:highlight w:val="none"/>
        </w:rPr>
        <w:t xml:space="preserve">26.6供应商在项目评审及协商全过程中应保持通信畅通，并安排专人与代理机构及协商小组联系。</w:t>
      </w:r>
      <w:bookmarkEnd w:id="135"/>
      <w:r/>
      <w:bookmarkEnd w:id="136"/>
      <w:r/>
      <w:bookmarkEnd w:id="137"/>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27、单一来源协商及成交原则</w:t>
      </w:r>
      <w:r/>
    </w:p>
    <w:p>
      <w:pPr>
        <w:pStyle w:val="2476"/>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27.1单一来源协商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 对于通过资格审查和符合性审查的供应商，协商小组将通过苏采云系统与其就采购标的的价格、服务等内容进行单一来源协商。</w:t>
      </w:r>
      <w:r/>
    </w:p>
    <w:p>
      <w:pPr>
        <w:pStyle w:val="2476"/>
        <w:ind w:firstLine="47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27.1.2供应商应当在苏采云系统中以书面形式对协商过程中做出的承诺与澄清进行确认，并在协商小组规定的时间内完成最后报价。</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2476"/>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27.2成交原则</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协商小组根据政府采购相关法律、规章的规定，在供应商的响应情况能保证采购项目质量且最后报价合理的基础上确定其为成交供应商。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27.3单一来源协商终止情形处理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出现下列情形之一的，代理机构将终止采购活动，发布项目终止公告并说明原因，重新开展采购活动：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27.3.1 因情况变化，不再符合规定的单一来源采购方式适用情形的；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27.3.2 出现影响采购公正的违法、违规行为的；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27.3.3供应商最后报价超过采购预算的；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27.3.4供应商的技术方案、服务承诺、商务条款等不能满足采购人或协商小组的要求；</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27.3.5 法律、法规、规章规定的其他应当终止的情形。</w:t>
      </w:r>
      <w:r/>
    </w:p>
    <w:p>
      <w:pPr>
        <w:pStyle w:val="2476"/>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六、成交</w:t>
      </w:r>
      <w:r/>
    </w:p>
    <w:p>
      <w:pPr>
        <w:pStyle w:val="2476"/>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28、确定成交供应商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28.1协商小组根据协商情况编写单一来源评审报告，推荐成交候选供应商。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采购人根据协商小组推荐的成交候选供应商确定成交供应商。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 若有充分证据证明，成交供应商出现下列情况之一的，一经查实，将被取消成交资格：</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28.3.1提供虚假材料谋取成交的。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28.3.2与评审专家、采购人、其他供应商或者代理机构工作人员恶意串通的。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28.3.3向评审专家、采购人或代理机构工作人员行贿或者提供其他不正当利益的。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28.3.4恶意竞争，最后报价明显低于其自身合理成本且又无法提供证明的。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28.3.5不满足本采购文件规定的实质性要求，但在评审过程中又未被协商小组发现的。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28.3.6成交后无正当理由拒不与采购人签订政府采购合同或者未按照采购文件确定的事项签订政府采购合同的。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28.3.7将政府采购合同转包的。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成交供应商被取消成交资格后，代理机构有权重新组织采购。</w:t>
      </w:r>
      <w:r/>
    </w:p>
    <w:p>
      <w:pPr>
        <w:pStyle w:val="2476"/>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38" w:name="_Toc200451960"/>
      <w:r>
        <w:rPr>
          <w:rFonts w:hint="eastAsia" w:ascii="宋体" w:hAnsi="宋体" w:cs="宋体"/>
          <w:color w:val="auto"/>
          <w:sz w:val="24"/>
          <w:szCs w:val="24"/>
          <w:highlight w:val="none"/>
        </w:rPr>
        <w:t xml:space="preserve">29、质疑处理</w:t>
      </w:r>
      <w:bookmarkEnd w:id="138"/>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29.1供应商认为采购过程和采购结果使自己的权益受到损害的，可以从采购结果公布之日起七个工作日内，以书面形式向代理机构提出质疑。</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spacing w:line="480" w:lineRule="exac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代理机构只接收以纸质原件形式送达的质疑,采购人和代理机构不接受未填写快递运单的快件。</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29.5.4未参加单一来源采购活动的供应商所提出的质疑。</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29.5.5供应商组成联合体参加协商，联合体中任何一方或多方未按要求签字、盖章、加盖公章的质疑。</w:t>
      </w:r>
      <w:r/>
    </w:p>
    <w:p>
      <w:pPr>
        <w:pStyle w:val="2476"/>
        <w:ind w:firstLine="46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2476"/>
        <w:ind w:firstLine="60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2476"/>
        <w:jc w:val="both"/>
        <w:keepLines/>
        <w:keepNext/>
        <w:spacing w:beforeAutospacing="0" w:afterAutospacing="0" w:line="480" w:lineRule="exact"/>
        <w:rPr>
          <w:rFonts w:hint="eastAsia" w:ascii="宋体" w:hAnsi="宋体" w:cs="宋体"/>
          <w:color w:val="auto"/>
          <w:sz w:val="24"/>
          <w:szCs w:val="24"/>
          <w:highlight w:val="none"/>
        </w:rPr>
      </w:pPr>
      <w:r/>
      <w:bookmarkStart w:id="139" w:name="_Toc513029236"/>
      <w:r/>
      <w:bookmarkStart w:id="140" w:name="_Toc120614220"/>
      <w:r/>
      <w:bookmarkStart w:id="141" w:name="_Toc16938552"/>
      <w:r/>
      <w:bookmarkStart w:id="142" w:name="_Toc20823308"/>
      <w:r>
        <w:rPr>
          <w:rFonts w:hint="eastAsia" w:ascii="宋体" w:hAnsi="宋体" w:cs="宋体"/>
          <w:b/>
          <w:color w:val="auto"/>
          <w:sz w:val="24"/>
          <w:szCs w:val="24"/>
          <w:highlight w:val="none"/>
        </w:rPr>
        <w:t xml:space="preserve">七、授予合同</w:t>
      </w:r>
      <w:bookmarkEnd w:id="139"/>
      <w:r/>
      <w:bookmarkEnd w:id="140"/>
      <w:r/>
      <w:bookmarkEnd w:id="141"/>
      <w:r/>
      <w:bookmarkEnd w:id="142"/>
      <w:r/>
      <w:r/>
    </w:p>
    <w:p>
      <w:pPr>
        <w:pStyle w:val="2476"/>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43" w:name="_Toc16938553"/>
      <w:r/>
      <w:bookmarkStart w:id="144" w:name="_Toc20823309"/>
      <w:r/>
      <w:bookmarkStart w:id="145" w:name="_Toc513029237"/>
      <w:r>
        <w:rPr>
          <w:rFonts w:hint="eastAsia" w:ascii="宋体" w:hAnsi="宋体" w:cs="宋体"/>
          <w:color w:val="auto"/>
          <w:sz w:val="24"/>
          <w:szCs w:val="24"/>
          <w:highlight w:val="none"/>
        </w:rPr>
        <w:t xml:space="preserve">31. 签订合同</w:t>
      </w:r>
      <w:bookmarkEnd w:id="143"/>
      <w:r/>
      <w:bookmarkEnd w:id="144"/>
      <w:r/>
      <w:bookmarkEnd w:id="145"/>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31.l成交供应商应当在成交通知书发出之日起三十日内，按照采购文件确定的事项与采购人签订政府采购合同。</w:t>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31.2采购文件、成交供应商的响应文件及协商过程中有关澄清、承诺文件均应作为合同附件。</w:t>
      </w:r>
      <w:r/>
    </w:p>
    <w:p>
      <w:pPr>
        <w:pStyle w:val="2476"/>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
          <w:color w:val="auto"/>
          <w:sz w:val="24"/>
          <w:szCs w:val="24"/>
          <w:highlight w:val="none"/>
          <w:u w:val="singl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2476"/>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2476"/>
        <w:numPr>
          <w:ilvl w:val="0"/>
          <w:numId w:val="0"/>
        </w:numPr>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33.政府采购政策功能落实</w:t>
      </w:r>
      <w:r/>
    </w:p>
    <w:p>
      <w:pPr>
        <w:pStyle w:val="2476"/>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33.1政府采购线上合同信用融资政策</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33.2进口产品</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33.3中小企业、监狱企业及残疾人福利性单位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33.3.1中小企业定义：</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w:t>
      </w:r>
      <w:r>
        <w:rPr>
          <w:rFonts w:hint="eastAsia" w:ascii="宋体" w:hAnsi="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33.3.2供应商提供的货物、工程或者服务符合下列情形的，享受中小企业扶持政策：</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33.3.2.1在货物采购项目中，货物由中小企业制造，即货物由中小企业生产且使用该中小企业商号或者注册商标；</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33.3.2.2在工程采购项目中，工程由中小企业承建，即工程施工单位为中小企业；</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33.3.6残疾人福利单位定义：享受政府采购支持政策的残疾人福利性单位应当同时满足以下条件：</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33.3.6.1安置的残疾人占本单位在职职工人数的比例不低于25%（含25%），并且安置的残疾人人数不少于10 人（含10 人）；</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33.3.6.2依法与安置的每位残疾人签订了一年以上（含一年）的劳动合同或服务协议；</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33.3.6.3为安置的每位残疾人按月足额缴纳了基本养老保险、基本医疗保险、失业保险、工伤保险和生育保险等社会保险费；</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33.3.6.4通过银行等金融机构向安置的每位残疾人，按月支付了不低于单位所在区县适用的经省级人民政府批准的月最低工资标准的工资；</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33.3.7本项目是否专门面向中小企业预留采购份额见第一章《单一来源采购邀请》。</w:t>
      </w:r>
      <w:r/>
    </w:p>
    <w:p>
      <w:pPr>
        <w:pStyle w:val="2476"/>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33.3.8采购标的对应的中小企业划分标准所属行业见第四章《采购需求》。</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33.4政府采购节能产品、环境标志产品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33.4.1</w:t>
      </w:r>
      <w:r>
        <w:rPr>
          <w:rFonts w:hint="eastAsia" w:ascii="宋体" w:hAnsi="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其他条件相同情况下，应当优先采购节能产品、环境标志产品。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33.4.2</w:t>
      </w:r>
      <w:r>
        <w:rPr>
          <w:rFonts w:hint="eastAsia" w:ascii="宋体" w:hAnsi="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33.5绿色包装</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33.6政府采购创新产品</w:t>
      </w:r>
      <w:r/>
    </w:p>
    <w:p>
      <w:pPr>
        <w:ind w:firstLine="478"/>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采购人优先采购各级政府部门公开发布的有效期内的创新产品、创新服务、首台套、首购首用等《目录》的创新产品</w:t>
      </w:r>
      <w:r>
        <w:rPr>
          <w:rFonts w:hint="eastAsia" w:ascii="宋体" w:hAnsi="宋体" w:cs="宋体"/>
          <w:color w:val="auto"/>
          <w:sz w:val="24"/>
          <w:szCs w:val="24"/>
          <w:highlight w:val="none"/>
        </w:rPr>
        <w:t xml:space="preserve">。</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33.8实施本国产品标准及相关政策</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1.本项目对采购本国产品给予政策支持</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480" w:lineRule="exact"/>
        <w:rPr>
          <w:rFonts w:hint="eastAsia" w:ascii="宋体" w:hAnsi="宋体" w:cs="宋体"/>
          <w:color w:val="ff0000"/>
          <w:sz w:val="24"/>
          <w:szCs w:val="24"/>
          <w:highlight w:val="none"/>
        </w:rPr>
      </w:pPr>
      <w:r>
        <w:rPr>
          <w:rFonts w:hint="eastAsia" w:ascii="宋体" w:hAnsi="宋体" w:cs="宋体"/>
          <w:b/>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33.9履约保证金政策</w:t>
      </w:r>
      <w:r/>
    </w:p>
    <w:p>
      <w:pPr>
        <w:pStyle w:val="2477"/>
        <w:ind w:left="0" w:firstLine="560"/>
        <w:spacing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确需收取履约保证金的，履约保证金的缴纳形式：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 预付款制度</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2477"/>
        <w:ind w:left="0" w:firstLine="560"/>
        <w:spacing w:after="0"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476"/>
        <w:ind w:firstLine="2640"/>
        <w:jc w:val="both"/>
        <w:keepNext/>
        <w:spacing w:beforeAutospacing="0" w:afterAutospacing="0"/>
        <w:rPr>
          <w:rFonts w:hint="eastAsia" w:ascii="黑体" w:hAnsi="宋体" w:eastAsia="黑体" w:cs="黑体"/>
          <w:color w:val="auto"/>
          <w:sz w:val="44"/>
          <w:szCs w:val="44"/>
          <w:highlight w:val="none"/>
        </w:rPr>
        <w:sectPr>
          <w:headerReference w:type="default" r:id="rId9"/>
          <w:headerReference w:type="even" r:id="rId10"/>
          <w:headerReference w:type="first" r:id="rId11"/>
          <w:footerReference w:type="default" r:id="rId24"/>
          <w:footnotePr/>
          <w:endnotePr/>
          <w:type w:val="nextPage"/>
          <w:pgSz w:w="11906" w:h="16838" w:orient="portrait"/>
          <w:pgMar w:top="1440" w:right="1800" w:bottom="1440" w:left="1800" w:header="851" w:footer="992" w:gutter="0"/>
          <w:lnNumType w:countBy="0" w:distance="360"/>
          <w:pgNumType w:start="1"/>
          <w:cols w:num="1" w:sep="0" w:space="720" w:equalWidth="1"/>
          <w:docGrid w:linePitch="360"/>
        </w:sectPr>
      </w:pPr>
      <w:r>
        <w:rPr>
          <w:rFonts w:hint="eastAsia" w:ascii="黑体" w:hAnsi="宋体" w:eastAsia="黑体" w:cs="黑体"/>
          <w:color w:val="auto"/>
          <w:sz w:val="44"/>
          <w:szCs w:val="44"/>
          <w:highlight w:val="none"/>
        </w:rPr>
      </w:r>
      <w:r/>
    </w:p>
    <w:p>
      <w:pPr>
        <w:pStyle w:val="2476"/>
        <w:jc w:val="center"/>
        <w:keepNext/>
        <w:spacing w:beforeAutospacing="0" w:afterAutospacing="0"/>
        <w:rPr>
          <w:rFonts w:hint="default"/>
          <w:color w:val="auto"/>
          <w:sz w:val="24"/>
          <w:szCs w:val="24"/>
          <w:highlight w:val="none"/>
        </w:rPr>
      </w:pPr>
      <w:r>
        <w:rPr>
          <w:rFonts w:hint="eastAsia" w:ascii="黑体" w:hAnsi="宋体" w:eastAsia="黑体" w:cs="黑体"/>
          <w:color w:val="auto"/>
          <w:sz w:val="44"/>
          <w:szCs w:val="44"/>
          <w:highlight w:val="none"/>
        </w:rPr>
        <w:t xml:space="preserve">第三章  合同文本</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bookmarkStart w:id="146" w:name="_Toc20823315"/>
      <w:r/>
      <w:bookmarkStart w:id="147" w:name="_Toc513029243"/>
      <w:r/>
      <w:bookmarkStart w:id="148" w:name="_Toc16938559"/>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以下为成交后签订本项目合同的通用条款，成交供应商不得提出实质性的修改。</w:t>
      </w:r>
      <w:bookmarkEnd w:id="146"/>
      <w:r/>
      <w:bookmarkEnd w:id="147"/>
      <w:r/>
      <w:bookmarkEnd w:id="148"/>
      <w:r/>
      <w:r/>
    </w:p>
    <w:p>
      <w:pPr>
        <w:pStyle w:val="2476"/>
        <w:ind w:firstLine="64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备注：请项目经办人提醒采购人按照《政府采购需求管理办法》第二十三条的规定完善合同文本。</w:t>
      </w:r>
      <w:r/>
    </w:p>
    <w:p>
      <w:pPr>
        <w:pStyle w:val="2476"/>
        <w:jc w:val="center"/>
        <w:spacing w:before="145" w:beforeAutospacing="0" w:after="145"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2476"/>
        <w:ind w:lef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盐城市政府采购合同（合同编号）</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根据《中华人民共和国民法典》、《中华人民共和国政府采购法》等相关法律法规之规定，按照平等、自愿、公平和诚实信用的原则，经盐城市公安局(以下简称：甲方)和</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(以下简称：乙方)协商一致，约定以下合同条款，以兹共同遵守、全面履行。</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合同组成部分</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本合同及其补充合同、变更协议；</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成交通知书；</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投标文件（含澄清或者说明文件）；</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采购文件（含澄清或者修改文件）；</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1.1.5 其他相关采购文件。</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名称及合同价款</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名称：盐城市公安局交警支队涉案车辆清拖及存放服务采购项目；</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本合同总价</w:t>
      </w:r>
      <w:r>
        <w:rPr>
          <w:rFonts w:hint="eastAsia" w:ascii="宋体" w:hAnsi="宋体" w:eastAsia="宋体" w:cs="宋体"/>
          <w:color w:val="auto"/>
          <w:sz w:val="24"/>
          <w:szCs w:val="24"/>
          <w:highlight w:val="none"/>
          <w:shd w:val="clear" w:color="auto" w:fill="auto"/>
          <w:lang w:val="en-US" w:eastAsia="zh-CN"/>
        </w:rPr>
        <w:t xml:space="preserve">金额</w:t>
      </w:r>
      <w:r>
        <w:rPr>
          <w:rFonts w:hint="eastAsia" w:ascii="宋体" w:hAnsi="宋体" w:eastAsia="宋体" w:cs="宋体"/>
          <w:color w:val="auto"/>
          <w:sz w:val="24"/>
          <w:szCs w:val="24"/>
          <w:highlight w:val="none"/>
          <w:shd w:val="clear" w:color="auto" w:fill="auto"/>
        </w:rPr>
        <w:t xml:space="preserve">为：</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元</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全年清拖、停放保管预算395万元，如超出该预算，按395万元结算；不足395万元，则按实际发生金额结算。</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1.3明细内容及分项价格：具体详见合同附件。</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付款方式和发票开具方式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付款方式：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预付款：合同签订后，</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收到预付款发票后10个工作日内，预付款支付比例：合同金额的30%。（在签订合同时，乙方明确书面表示无需预付款或者主动要求降低预付款比例的，甲方可就预付款比例作相应调整）</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进度款：服务费按季度进行结算（结算时须扣除当季度应扣除的预付款），乙方在每季度</w:t>
      </w:r>
      <w:r>
        <w:rPr>
          <w:rFonts w:hint="eastAsia" w:ascii="宋体" w:hAnsi="宋体" w:eastAsia="宋体" w:cs="宋体"/>
          <w:color w:val="auto"/>
          <w:sz w:val="24"/>
          <w:szCs w:val="24"/>
          <w:highlight w:val="none"/>
          <w:shd w:val="clear" w:color="auto" w:fill="auto"/>
          <w:lang w:val="en-US" w:eastAsia="zh-CN"/>
        </w:rPr>
        <w:t xml:space="preserve">后10日内</w:t>
      </w:r>
      <w:r>
        <w:rPr>
          <w:rFonts w:hint="eastAsia" w:ascii="宋体" w:hAnsi="宋体" w:eastAsia="宋体" w:cs="宋体"/>
          <w:color w:val="auto"/>
          <w:sz w:val="24"/>
          <w:szCs w:val="24"/>
          <w:highlight w:val="none"/>
          <w:shd w:val="clear" w:color="auto" w:fill="auto"/>
        </w:rPr>
        <w:t xml:space="preserve">提供发票及合同，乙方向甲方开具增值税发票，甲方在收到增值税发票后的10个工作日内支付相应款项</w:t>
      </w:r>
      <w:r>
        <w:rPr>
          <w:rFonts w:hint="eastAsia" w:ascii="宋体" w:hAnsi="宋体" w:eastAsia="宋体" w:cs="宋体"/>
          <w:color w:val="auto"/>
          <w:sz w:val="24"/>
          <w:szCs w:val="24"/>
          <w:highlight w:val="none"/>
          <w:shd w:val="clear" w:color="auto" w:fill="auto"/>
          <w:lang w:eastAsia="zh-CN"/>
        </w:rPr>
        <w:t xml:space="preserve">。</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发票开具方式：根据甲方财务规定另行约定；</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服务期限、地点和方式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1.5.1服务期限：</w:t>
      </w:r>
      <w:r>
        <w:rPr>
          <w:rFonts w:hint="eastAsia" w:ascii="宋体" w:hAnsi="宋体" w:cs="宋体"/>
          <w:color w:val="auto"/>
          <w:sz w:val="24"/>
          <w:szCs w:val="24"/>
          <w:highlight w:val="none"/>
          <w:shd w:val="clear" w:color="auto" w:fill="auto"/>
          <w:lang w:val="en-US" w:eastAsia="zh-CN"/>
        </w:rPr>
        <w:t xml:space="preserve">至2026年12月31日</w:t>
      </w:r>
      <w:r>
        <w:rPr>
          <w:rFonts w:hint="eastAsia" w:ascii="宋体" w:hAnsi="宋体" w:eastAsia="宋体" w:cs="宋体"/>
          <w:color w:val="auto"/>
          <w:sz w:val="24"/>
          <w:szCs w:val="24"/>
          <w:highlight w:val="none"/>
          <w:shd w:val="clear" w:color="auto" w:fill="auto"/>
        </w:rPr>
        <w:t xml:space="preserve">；</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1.5.2服务地点：江苏盐城市区；</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1.5.3服务方式：乙方负责按照甲方要求将涉案车辆清拖至甲方指定地点并根据甲方相关手续放行车辆；</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1.6履约保证金</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1.6.1乙方交纳人民币_________元作为本合同的履约保证金。[合同金额的5%，甲方对AA评级及以上政府采购供应商（需在签订采购合同前提供信用管理 部门备案的第三方信用报告，且信用报告通过“信用盐城网”可查实，免收履约保证金。]</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6.2确需收取履约保证金的，履约保证金的缴纳形式：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6.2</w:t>
      </w:r>
      <w:r>
        <w:rPr>
          <w:rFonts w:hint="eastAsia" w:ascii="宋体" w:hAnsi="宋体" w:eastAsia="宋体" w:cs="宋体"/>
          <w:color w:val="auto"/>
          <w:sz w:val="24"/>
          <w:szCs w:val="24"/>
          <w:highlight w:val="none"/>
          <w:shd w:val="clear" w:color="auto" w:fill="auto"/>
          <w:lang w:val="en-US" w:eastAsia="zh-CN"/>
        </w:rPr>
        <w:t xml:space="preserve">.1乙方</w:t>
      </w:r>
      <w:r>
        <w:rPr>
          <w:rFonts w:hint="eastAsia" w:ascii="宋体" w:hAnsi="宋体" w:eastAsia="宋体" w:cs="宋体"/>
          <w:color w:val="auto"/>
          <w:sz w:val="24"/>
          <w:szCs w:val="24"/>
          <w:highlight w:val="none"/>
          <w:shd w:val="clear" w:color="auto" w:fill="auto"/>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自愿使用电子履约保函（保险）代替缴纳履约保证金。</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如以履约保函（保险）形式缴纳履约保证金，</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可通过政府采购电子履约保函（保险）平台（www.jsdzbh.com）在线申请履约保函（保险）。</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4.1</w:t>
      </w:r>
      <w:r>
        <w:rPr>
          <w:rFonts w:hint="eastAsia" w:ascii="宋体" w:hAnsi="宋体" w:eastAsia="宋体" w:cs="宋体"/>
          <w:color w:val="auto"/>
          <w:sz w:val="24"/>
          <w:szCs w:val="24"/>
          <w:highlight w:val="none"/>
          <w:shd w:val="clear" w:color="auto" w:fill="auto"/>
        </w:rPr>
        <w:t xml:space="preserve">方式：退还至</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缴纳履约保证金的账户。如为保函，在到期时自行失效。</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4.2</w:t>
      </w:r>
      <w:r>
        <w:rPr>
          <w:rFonts w:hint="eastAsia" w:ascii="宋体" w:hAnsi="宋体" w:eastAsia="宋体" w:cs="宋体"/>
          <w:color w:val="auto"/>
          <w:sz w:val="24"/>
          <w:szCs w:val="24"/>
          <w:highlight w:val="none"/>
          <w:shd w:val="clear" w:color="auto" w:fill="auto"/>
        </w:rPr>
        <w:t xml:space="preserve">时间：验收合格且甲方收到发票后30日内。</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4.3</w:t>
      </w:r>
      <w:r>
        <w:rPr>
          <w:rFonts w:hint="eastAsia" w:ascii="宋体" w:hAnsi="宋体" w:eastAsia="宋体" w:cs="宋体"/>
          <w:color w:val="auto"/>
          <w:sz w:val="24"/>
          <w:szCs w:val="24"/>
          <w:highlight w:val="none"/>
          <w:shd w:val="clear" w:color="auto" w:fill="auto"/>
        </w:rPr>
        <w:t xml:space="preserve">条件：按合同要求全部履约完成并经</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验收合格，且</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收到</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出具的发票。</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4.4</w:t>
      </w:r>
      <w:r>
        <w:rPr>
          <w:rFonts w:hint="eastAsia" w:ascii="宋体" w:hAnsi="宋体" w:eastAsia="宋体" w:cs="宋体"/>
          <w:color w:val="auto"/>
          <w:sz w:val="24"/>
          <w:szCs w:val="24"/>
          <w:highlight w:val="none"/>
          <w:shd w:val="clear" w:color="auto" w:fill="auto"/>
        </w:rPr>
        <w:t xml:space="preserve">不予退还情形：</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出现下列情形之一的，其履约保证金，</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将视情节决定不予退还或部分不予退还。</w:t>
      </w:r>
      <w:r/>
    </w:p>
    <w:p>
      <w:pPr>
        <w:pStyle w:val="247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无正当理由拒绝签订合同的，或者在签订合同时向甲方提出附加条件或者更改合同实质性内容要求的；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不履行与甲方订立的合同的；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所供货物或服务不符合招标文件规定要求的；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采取欺骗、弄虚作假方式投标的或与其它投标人串通投标的；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将合同内容转包、违法分包的；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故意捏造事实或伪造证明材料，进行虚假恶意投诉或反映的。</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逾期退还的违约责任：甲方逾期无故未退还履约保证金的，按中国人民银行同期贷款基准利率上浮20%后的利率支付超期资金占用费，但因</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自身原因导致无法及时退还的除外。</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1.7违约责任</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除不可抗力外，乙方三次以上未严格履行采购文件要求、投标文件及相关承诺的，造成严重不良影响的，甲方有权解除本合同（视为乙方拒绝履行合同义务）并没收履约保证金。采购文件对乙方违约行为另有约定的，从其约定。</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 除不可抗力外，乙方未能未能按甲方指令快速响应致使造成不良影响的，甲方有权约谈乙方且处违约金5000元；因乙方实施及保管过程不善导致车辆造成损失的，由乙方负责赔偿。</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1.7.5 如果出现政府采购监督管理部门在处理投诉事项期间，书面通知甲方暂停采购活动的情形，或者询问或质疑事项可能影响中标结果的，导致甲方中止履行合同的情形，均不视为甲方违约。</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1.8服务要求</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1.8.1提供7*24小时应急服务，市区高架桥范围内原则上报障后半小时内响应，其他范围视路况及天气情况积极响应同时应与甲方做好沟通，第一时间清扫现场恢复交通。</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1.9合同争议的解决</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本合同履行过程中发生的任何争议，双方当事人均可通过和解或者调解解决；不愿和解、调解或者和解、调解不成的，可以将争议提交盐城市仲裁委员会依申请仲裁时其现行有效的仲裁规则裁决。</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 合同生效</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本合同自双方当事人盖章或者签字时生效。</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甲方（盖章）：                       乙方（盖章）：</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法定代表人或授权代表（签字）：        法定代表人或授权代表（签字）:</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联系人：                              联系人：</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 </w:t>
      </w:r>
      <w:r/>
    </w:p>
    <w:p>
      <w:pPr>
        <w:pStyle w:val="2476"/>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约定送达地址：                        约定送达地址：</w:t>
      </w:r>
      <w:r/>
    </w:p>
    <w:p>
      <w:pPr>
        <w:pStyle w:val="2476"/>
        <w:ind w:firstLine="4800"/>
        <w:jc w:val="both"/>
        <w:spacing w:beforeAutospacing="0" w:afterAutospacing="0" w:line="48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签订日期：年  月   日</w:t>
      </w:r>
      <w:r/>
    </w:p>
    <w:p>
      <w:pPr>
        <w:spacing w:line="540" w:lineRule="exact"/>
        <w:rPr>
          <w:rFonts w:hint="default"/>
          <w:color w:val="auto"/>
          <w:sz w:val="24"/>
          <w:szCs w:val="24"/>
          <w:highlight w:val="none"/>
        </w:rPr>
      </w:pPr>
      <w:r/>
      <w:bookmarkStart w:id="149" w:name="_Toc479757211"/>
      <w:r/>
      <w:bookmarkStart w:id="150" w:name="_Toc20823346"/>
      <w:r/>
      <w:bookmarkStart w:id="151" w:name="_Toc16938590"/>
      <w:r/>
      <w:bookmarkStart w:id="152" w:name="_Toc462564139"/>
      <w:r/>
      <w:bookmarkStart w:id="153" w:name="_Toc120614244"/>
      <w:r/>
      <w:bookmarkStart w:id="154" w:name="_Hlt16619350"/>
      <w:r/>
      <w:bookmarkStart w:id="155" w:name="_Hlt16619369"/>
      <w:r>
        <w:rPr>
          <w:rFonts w:hint="eastAsia" w:ascii="宋体" w:hAnsi="宋体" w:cs="宋体"/>
          <w:color w:val="auto"/>
          <w:sz w:val="24"/>
          <w:szCs w:val="24"/>
          <w:highlight w:val="none"/>
        </w:rPr>
        <w:br w:type="page" w:clear="all"/>
      </w:r>
      <w:r>
        <w:rPr>
          <w:rFonts w:hint="eastAsia"/>
          <w:color w:val="auto"/>
          <w:sz w:val="24"/>
          <w:szCs w:val="24"/>
          <w:highlight w:val="none"/>
        </w:rPr>
        <w:t xml:space="preserve">合同附件：</w:t>
      </w:r>
      <w:r/>
    </w:p>
    <w:p>
      <w:pPr>
        <w:jc w:val="center"/>
        <w:spacing w:line="540" w:lineRule="exact"/>
        <w:rPr>
          <w:rFonts w:hint="default"/>
          <w:b/>
          <w:color w:val="auto"/>
          <w:sz w:val="32"/>
          <w:szCs w:val="32"/>
          <w:highlight w:val="none"/>
        </w:rPr>
      </w:pPr>
      <w:r>
        <w:rPr>
          <w:rFonts w:hint="eastAsia"/>
          <w:b/>
          <w:color w:val="auto"/>
          <w:sz w:val="32"/>
          <w:szCs w:val="32"/>
          <w:highlight w:val="none"/>
        </w:rPr>
        <w:t xml:space="preserve">项目建设供应商承诺函</w:t>
      </w:r>
      <w:r/>
    </w:p>
    <w:p>
      <w:pPr>
        <w:spacing w:line="540" w:lineRule="exact"/>
        <w:rPr>
          <w:rFonts w:hint="default"/>
          <w:b/>
          <w:color w:val="auto"/>
          <w:sz w:val="28"/>
          <w:szCs w:val="28"/>
          <w:highlight w:val="none"/>
        </w:rPr>
      </w:pPr>
      <w:r>
        <w:rPr>
          <w:rFonts w:hint="default"/>
          <w:b/>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对未列出的其他事项，严格按照法律法规等具体规定执行。</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现承诺，我单位在履行</w:t>
      </w:r>
      <w:r>
        <w:rPr>
          <w:rFonts w:hint="eastAsia"/>
          <w:color w:val="auto"/>
          <w:sz w:val="28"/>
          <w:szCs w:val="28"/>
          <w:highlight w:val="none"/>
          <w:u w:val="single"/>
          <w:lang w:eastAsia="zh-CN"/>
        </w:rPr>
        <w:t xml:space="preserve">盐城市公安局交警支队涉案车辆清拖及存放服务采购项目</w:t>
      </w:r>
      <w:r>
        <w:rPr>
          <w:rFonts w:hint="eastAsia"/>
          <w:color w:val="auto"/>
          <w:sz w:val="28"/>
          <w:szCs w:val="28"/>
          <w:highlight w:val="none"/>
        </w:rPr>
        <w:t xml:space="preserve">的项目建设中，将严格按照提示函的内容和要求执行，如若违反愿意承担相应的责任。</w:t>
      </w:r>
      <w:r/>
    </w:p>
    <w:p>
      <w:pPr>
        <w:spacing w:line="540" w:lineRule="exact"/>
        <w:rPr>
          <w:rFonts w:hint="default"/>
          <w:color w:val="auto"/>
          <w:sz w:val="28"/>
          <w:szCs w:val="28"/>
          <w:highlight w:val="none"/>
        </w:rPr>
      </w:pPr>
      <w:r>
        <w:rPr>
          <w:rFonts w:hint="default"/>
          <w:color w:val="auto"/>
          <w:sz w:val="28"/>
          <w:szCs w:val="28"/>
          <w:highlight w:val="none"/>
        </w:rPr>
      </w:r>
      <w:r/>
    </w:p>
    <w:p>
      <w:pPr>
        <w:spacing w:line="540" w:lineRule="exact"/>
        <w:rPr>
          <w:rFonts w:hint="default"/>
          <w:color w:val="auto"/>
          <w:sz w:val="28"/>
          <w:szCs w:val="28"/>
          <w:highlight w:val="none"/>
        </w:rPr>
      </w:pPr>
      <w:r>
        <w:rPr>
          <w:rFonts w:hint="default"/>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供应商项目负责人（签字）：            联系方式：</w:t>
      </w:r>
      <w:r/>
    </w:p>
    <w:p>
      <w:pPr>
        <w:pStyle w:val="2476"/>
        <w:jc w:val="both"/>
        <w:spacing w:before="120" w:beforeAutospacing="0" w:after="120" w:afterAutospacing="0" w:line="240" w:lineRule="atLeast"/>
        <w:rPr>
          <w:rFonts w:hint="eastAsia"/>
          <w:color w:val="auto"/>
          <w:sz w:val="28"/>
          <w:szCs w:val="28"/>
          <w:highlight w:val="none"/>
        </w:rPr>
      </w:pPr>
      <w:r>
        <w:rPr>
          <w:rFonts w:hint="eastAsia"/>
          <w:color w:val="auto"/>
          <w:sz w:val="28"/>
          <w:szCs w:val="28"/>
          <w:highlight w:val="none"/>
        </w:rPr>
      </w:r>
      <w:r/>
    </w:p>
    <w:p>
      <w:pPr>
        <w:pStyle w:val="2476"/>
        <w:ind w:firstLine="5320"/>
        <w:jc w:val="both"/>
        <w:spacing w:before="120" w:beforeAutospacing="0" w:after="120" w:afterAutospacing="0" w:line="240" w:lineRule="atLeast"/>
        <w:rPr>
          <w:rFonts w:hint="eastAsia" w:ascii="黑体" w:hAnsi="宋体" w:eastAsia="黑体" w:cs="黑体"/>
          <w:color w:val="auto"/>
          <w:sz w:val="44"/>
          <w:szCs w:val="44"/>
          <w:highlight w:val="none"/>
        </w:rPr>
        <w:sectPr>
          <w:headerReference w:type="default" r:id="rId12"/>
          <w:headerReference w:type="even" r:id="rId13"/>
          <w:headerReference w:type="first" r:id="rId14"/>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color w:val="auto"/>
          <w:sz w:val="28"/>
          <w:szCs w:val="28"/>
          <w:highlight w:val="none"/>
        </w:rPr>
        <w:t xml:space="preserve">（供应商单位公章）</w:t>
      </w:r>
      <w:r>
        <w:rPr>
          <w:rFonts w:hint="eastAsia" w:ascii="黑体" w:hAnsi="宋体" w:eastAsia="黑体" w:cs="黑体"/>
          <w:color w:val="auto"/>
          <w:sz w:val="44"/>
          <w:szCs w:val="44"/>
          <w:highlight w:val="none"/>
        </w:rPr>
        <w:t xml:space="preserve"> </w:t>
      </w:r>
      <w:r/>
    </w:p>
    <w:p>
      <w:pPr>
        <w:pStyle w:val="2476"/>
        <w:jc w:val="center"/>
        <w:spacing w:before="120" w:beforeAutospacing="0" w:after="120" w:afterAutospacing="0" w:line="240" w:lineRule="atLeast"/>
        <w:rPr>
          <w:rFonts w:hint="default"/>
          <w:color w:val="auto"/>
          <w:sz w:val="24"/>
          <w:szCs w:val="24"/>
          <w:highlight w:val="none"/>
        </w:rPr>
      </w:pPr>
      <w:r>
        <w:rPr>
          <w:rFonts w:hint="eastAsia" w:ascii="黑体" w:hAnsi="宋体" w:eastAsia="黑体" w:cs="黑体"/>
          <w:color w:val="auto"/>
          <w:sz w:val="44"/>
          <w:szCs w:val="44"/>
          <w:highlight w:val="none"/>
        </w:rPr>
        <w:t xml:space="preserve">第</w:t>
      </w:r>
      <w:bookmarkEnd w:id="149"/>
      <w:r>
        <w:rPr>
          <w:rFonts w:hint="eastAsia" w:ascii="黑体" w:hAnsi="宋体" w:eastAsia="黑体" w:cs="黑体"/>
          <w:color w:val="auto"/>
          <w:sz w:val="44"/>
          <w:szCs w:val="44"/>
          <w:highlight w:val="none"/>
        </w:rPr>
        <w:t xml:space="preserve">四章 采购需求</w:t>
      </w:r>
      <w:bookmarkEnd w:id="150"/>
      <w:r/>
      <w:bookmarkEnd w:id="151"/>
      <w:r/>
      <w:bookmarkEnd w:id="152"/>
      <w:r/>
      <w:bookmarkEnd w:id="153"/>
      <w:r/>
      <w:bookmarkStart w:id="156" w:name="_Toc49090575"/>
      <w:r/>
      <w:bookmarkEnd w:id="156"/>
      <w:r/>
      <w:bookmarkStart w:id="157" w:name="_Toc26554093"/>
      <w:r/>
      <w:bookmarkEnd w:id="157"/>
      <w:r/>
      <w:r/>
    </w:p>
    <w:p>
      <w:pPr>
        <w:pStyle w:val="2476"/>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0" w:lineRule="atLeast"/>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lang w:val="zh-CN"/>
        </w:rPr>
        <w:t xml:space="preserve">项目属性:服务类项目。</w:t>
      </w:r>
      <w:r/>
    </w:p>
    <w:p>
      <w:pPr>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采购标的对应的中小微企业划分标准所属行业一览表</w:t>
      </w:r>
      <w:r/>
    </w:p>
    <w:tbl>
      <w:tblPr>
        <w:tblStyle w:val="2471"/>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val="false"/>
          </w:tcPr>
          <w:p>
            <w:pPr>
              <w:pStyle w:val="24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val="false"/>
          </w:tcPr>
          <w:p>
            <w:pPr>
              <w:pStyle w:val="24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val="false"/>
          </w:tcPr>
          <w:p>
            <w:pPr>
              <w:pStyle w:val="24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对应中小微企业划分标准所属行业</w:t>
            </w:r>
            <w:r/>
          </w:p>
        </w:tc>
      </w:tr>
      <w:tr>
        <w:trPr>
          <w:jc w:val="center"/>
          <w:tblCellSpacing w:w="0" w:type="dxa"/>
          <w:trHeight w:val="291"/>
        </w:trPr>
        <w:tc>
          <w:tcPr>
            <w:tcW w:w="971" w:type="dxa"/>
            <w:vAlign w:val="center"/>
            <w:textDirection w:val="lrTb"/>
            <w:noWrap w:val="false"/>
          </w:tcPr>
          <w:p>
            <w:pPr>
              <w:pStyle w:val="24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val="false"/>
          </w:tcPr>
          <w:p>
            <w:pPr>
              <w:pStyle w:val="2479"/>
              <w:jc w:val="center"/>
              <w:keepLines w:val="0"/>
              <w:keepNext w:val="0"/>
              <w:pageBreakBefore w:val="0"/>
              <w:spacing w:beforeAutospacing="0" w:afterAutospacing="0" w:line="500" w:lineRule="exact"/>
              <w:rPr>
                <w:rFonts w:eastAsia="宋体"/>
                <w:color w:val="auto"/>
                <w:highlight w:val="none"/>
              </w:rPr>
            </w:pPr>
            <w:r>
              <w:rPr>
                <w:color w:val="auto"/>
                <w:highlight w:val="none"/>
              </w:rPr>
              <w:t xml:space="preserve"> </w:t>
            </w:r>
            <w:r>
              <w:rPr>
                <w:rFonts w:hint="eastAsia" w:eastAsia="宋体" w:cs="宋体"/>
                <w:color w:val="auto"/>
                <w:highlight w:val="none"/>
                <w:shd w:val="clear" w:color="auto" w:fill="auto"/>
                <w:lang w:eastAsia="zh-CN"/>
              </w:rPr>
              <w:t xml:space="preserve">盐城市公安局交警支队涉案车辆清拖及存放服务采购项目</w:t>
            </w:r>
            <w:r/>
          </w:p>
        </w:tc>
        <w:tc>
          <w:tcPr>
            <w:tcW w:w="3889" w:type="dxa"/>
            <w:vAlign w:val="center"/>
            <w:textDirection w:val="lrTb"/>
            <w:noWrap w:val="false"/>
          </w:tcPr>
          <w:p>
            <w:pPr>
              <w:pStyle w:val="2479"/>
              <w:jc w:val="center"/>
              <w:keepLines w:val="0"/>
              <w:keepNext w:val="0"/>
              <w:pageBreakBefore w:val="0"/>
              <w:spacing w:beforeAutospacing="0" w:afterAutospacing="0" w:line="500" w:lineRule="exact"/>
              <w:rPr>
                <w:color w:val="auto"/>
                <w:highlight w:val="none"/>
              </w:rPr>
            </w:pPr>
            <w:r>
              <w:rPr>
                <w:rFonts w:hint="eastAsia" w:ascii="宋体" w:hAnsi="宋体" w:eastAsia="宋体" w:cs="宋体"/>
                <w:color w:val="auto"/>
                <w:sz w:val="24"/>
                <w:szCs w:val="24"/>
                <w:highlight w:val="none"/>
                <w:shd w:val="clear" w:color="auto" w:fill="auto"/>
              </w:rPr>
              <w:t xml:space="preserve">租赁和商务服务业</w:t>
            </w:r>
            <w:r/>
          </w:p>
        </w:tc>
      </w:tr>
    </w:tbl>
    <w:p>
      <w:pPr>
        <w:pStyle w:val="2476"/>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eastAsia="zh-CN"/>
        </w:rPr>
      </w:pPr>
      <w:r/>
      <w:bookmarkStart w:id="158" w:name="_Toc618"/>
      <w:r>
        <w:rPr>
          <w:rFonts w:hint="default" w:ascii="宋体" w:hAnsi="宋体" w:eastAsia="宋体" w:cs="宋体"/>
          <w:b/>
          <w:bCs/>
          <w:color w:val="auto"/>
          <w:highlight w:val="none"/>
          <w:shd w:val="clear" w:color="auto" w:fill="auto"/>
          <w:lang w:val="en-US" w:eastAsia="zh-CN"/>
        </w:rPr>
        <w:t xml:space="preserve">一、</w:t>
      </w:r>
      <w:r>
        <w:rPr>
          <w:rFonts w:hint="default" w:ascii="宋体" w:hAnsi="宋体" w:eastAsia="宋体" w:cs="宋体"/>
          <w:b/>
          <w:bCs/>
          <w:color w:val="auto"/>
          <w:highlight w:val="none"/>
          <w:shd w:val="clear" w:color="auto" w:fill="auto"/>
        </w:rPr>
        <w:t xml:space="preserve">项目</w:t>
      </w:r>
      <w:bookmarkEnd w:id="158"/>
      <w:r/>
      <w:bookmarkStart w:id="159" w:name="_Toc517777390"/>
      <w:r/>
      <w:bookmarkStart w:id="160" w:name="_Toc1166"/>
      <w:r>
        <w:rPr>
          <w:rFonts w:hint="default" w:ascii="宋体" w:hAnsi="宋体" w:eastAsia="宋体" w:cs="宋体"/>
          <w:b/>
          <w:bCs/>
          <w:color w:val="auto"/>
          <w:highlight w:val="none"/>
          <w:shd w:val="clear" w:color="auto" w:fill="auto"/>
        </w:rPr>
        <w:t xml:space="preserve">名称：</w:t>
      </w:r>
      <w:bookmarkEnd w:id="159"/>
      <w:r>
        <w:rPr>
          <w:rFonts w:hint="eastAsia" w:ascii="宋体" w:hAnsi="宋体" w:eastAsia="宋体" w:cs="宋体"/>
          <w:b/>
          <w:bCs/>
          <w:color w:val="auto"/>
          <w:highlight w:val="none"/>
          <w:shd w:val="clear" w:color="auto" w:fill="auto"/>
          <w:lang w:eastAsia="zh-CN"/>
        </w:rPr>
        <w:t xml:space="preserve">盐城市公安局交警支队涉案车辆清拖及存放服务采购项目</w:t>
      </w:r>
      <w:bookmarkEnd w:id="160"/>
      <w:r/>
      <w:r/>
    </w:p>
    <w:p>
      <w:pPr>
        <w:pStyle w:val="2476"/>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bookmarkStart w:id="161" w:name="_Toc9565"/>
      <w:r>
        <w:rPr>
          <w:rFonts w:hint="default" w:ascii="宋体" w:hAnsi="宋体" w:eastAsia="宋体" w:cs="宋体"/>
          <w:b/>
          <w:bCs/>
          <w:color w:val="auto"/>
          <w:highlight w:val="none"/>
          <w:shd w:val="clear" w:color="auto" w:fill="auto"/>
          <w:lang w:val="en-US" w:eastAsia="zh-CN"/>
        </w:rPr>
        <w:t xml:space="preserve">二、具体要求</w:t>
      </w:r>
      <w:bookmarkEnd w:id="161"/>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1.投标人建设的专用停车场面积需达到50亩以上，场地硬化率达到70%以上，可停放20吨货车。该停车场为市公安局涉案车辆专用，不得作其它用途。</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2.投标人停车场外部道路设施齐全，可通达市区主干道。场内分区合理、道路通达，四周围墙、周界报警，灯光、监控、消防水路、消防栓全覆盖、无死角，配套的值班备勤和生活用房、设施齐全，配足灭火器等消防设施。</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3.投标人应配备3吨以上清障车5辆，清障队员10人以上，具备快速反应能力（接到民警指令后需在30分钟以内到达现场清拖），在原市区一、六大队和停车场驻点24小时轮班保障。清障队员应具备相关专业知识，车辆清拖过程中不得违规操作。</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4.投标人应按交警支队涉案车辆管理要求，入场车辆查验相关手续，清点保管好贵重物品，通过系统进行车辆进出分类登记。做好场内车辆分类规范管理，按要求协助数据统计分析，凭相关大队开具的放车单放车，为取车群众及时提供热情便捷服务。</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5.投标人应加强场地值班巡查，落实防盗、防火、防水浸措施，确保安全，对发生不可抗力造成车辆损害的情况应及时向各相关大队报告。</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6.投标人应接受采购人业务方面的检查指导，确保规范运行。</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7.采购人对交由投标人清拖和存放保管的车辆应做到手续齐全，对手续不全车辆不得强令投标人清拖、存放保管。</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8.采购人应定期组织对场内车辆进行盘点、清理，对符合处置条件的及时公告、处置，每年不少于1次。</w:t>
      </w:r>
      <w:r/>
    </w:p>
    <w:p>
      <w:pPr>
        <w:pStyle w:val="2476"/>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三、项目内容及结算方式</w:t>
      </w:r>
      <w:r/>
    </w:p>
    <w:p>
      <w:pPr>
        <w:pStyle w:val="2476"/>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采购人将市区交警执法查扣和事故扣押车辆全部委托投标人清拖和停放保管，投标人将租用的盐城开发区新城街道九华山路53亩场地建成专用停车场。</w:t>
      </w:r>
      <w:r/>
    </w:p>
    <w:p>
      <w:pPr>
        <w:pStyle w:val="2476"/>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合同签订之日起</w:t>
      </w:r>
      <w:r>
        <w:rPr>
          <w:rFonts w:hint="eastAsia" w:ascii="宋体" w:hAnsi="宋体" w:cs="宋体"/>
          <w:b w:val="0"/>
          <w:bCs w:val="0"/>
          <w:color w:val="auto"/>
          <w:highlight w:val="none"/>
          <w:shd w:val="clear" w:color="auto" w:fill="auto"/>
          <w:lang w:val="en-US" w:eastAsia="zh-CN"/>
        </w:rPr>
        <w:t xml:space="preserve">至2026年12月31日</w:t>
      </w:r>
      <w:r>
        <w:rPr>
          <w:rFonts w:hint="eastAsia" w:ascii="宋体" w:hAnsi="宋体" w:eastAsia="宋体" w:cs="宋体"/>
          <w:b w:val="0"/>
          <w:bCs w:val="0"/>
          <w:color w:val="auto"/>
          <w:highlight w:val="none"/>
          <w:shd w:val="clear" w:color="auto" w:fill="auto"/>
          <w:lang w:val="en-US" w:eastAsia="zh-CN"/>
        </w:rPr>
        <w:t xml:space="preserve">。因政策因素导致合同无法执行的，经甲乙双方协商可以提前终止合同。</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1、</w:t>
      </w:r>
      <w:r>
        <w:rPr>
          <w:rFonts w:hint="default" w:ascii="宋体" w:hAnsi="宋体" w:eastAsia="宋体" w:cs="宋体"/>
          <w:b w:val="0"/>
          <w:bCs w:val="0"/>
          <w:color w:val="auto"/>
          <w:highlight w:val="none"/>
          <w:shd w:val="clear" w:color="auto" w:fill="auto"/>
          <w:lang w:val="en-US" w:eastAsia="zh-CN"/>
        </w:rPr>
        <w:t xml:space="preserve">车辆清拖和存放按以下最高单价执行</w:t>
      </w:r>
      <w:r/>
    </w:p>
    <w:tbl>
      <w:tblPr>
        <w:tblStyle w:val="2471"/>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80"/>
        <w:gridCol w:w="3220"/>
        <w:gridCol w:w="3120"/>
      </w:tblGrid>
      <w:tr>
        <w:trPr>
          <w:jc w:val="center"/>
          <w:trHeight w:val="540"/>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车型</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清拖费（元/辆次）</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停放保管费（元/辆天）</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大型车（含新能源）</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500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40</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小客车（含新能源）</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农用车（含拖拉机）</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小货车、皮卡、正三轮</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r>
      <w:tr>
        <w:trPr>
          <w:jc w:val="center"/>
          <w:trHeight w:val="1207"/>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低速小型电动车、货车（非标、老年代步车类）</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摩托车</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电摩（含电动自行车）</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自行车</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r>
      <w:tr>
        <w:trPr>
          <w:jc w:val="center"/>
          <w:trHeight w:val="525"/>
        </w:trPr>
        <w:tc>
          <w:tcPr>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人力三轮</w:t>
            </w:r>
            <w:r/>
          </w:p>
        </w:tc>
        <w:tc>
          <w:tcPr>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c>
          <w:tcPr>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r>
    </w:tbl>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清拖、停放保管预算</w:t>
      </w:r>
      <w:r>
        <w:rPr>
          <w:rFonts w:hint="eastAsia" w:ascii="宋体" w:hAnsi="宋体" w:cs="宋体"/>
          <w:color w:val="auto"/>
          <w:highlight w:val="none"/>
          <w:shd w:val="clear" w:color="auto" w:fill="auto"/>
          <w:lang w:val="en-US" w:eastAsia="zh-CN"/>
        </w:rPr>
        <w:t xml:space="preserve">161.94</w:t>
      </w:r>
      <w:r>
        <w:rPr>
          <w:rFonts w:hint="default" w:ascii="宋体" w:hAnsi="宋体" w:eastAsia="宋体" w:cs="宋体"/>
          <w:color w:val="auto"/>
          <w:highlight w:val="none"/>
          <w:shd w:val="clear" w:color="auto" w:fill="auto"/>
          <w:lang w:val="en-US" w:eastAsia="zh-CN"/>
        </w:rPr>
        <w:t xml:space="preserve">万元，如超出该预算，按</w:t>
      </w:r>
      <w:r>
        <w:rPr>
          <w:rFonts w:hint="eastAsia" w:ascii="宋体" w:hAnsi="宋体" w:cs="宋体"/>
          <w:color w:val="auto"/>
          <w:highlight w:val="none"/>
          <w:shd w:val="clear" w:color="auto" w:fill="auto"/>
          <w:lang w:val="en-US" w:eastAsia="zh-CN"/>
        </w:rPr>
        <w:t xml:space="preserve">161.94</w:t>
      </w:r>
      <w:r>
        <w:rPr>
          <w:rFonts w:hint="default" w:ascii="宋体" w:hAnsi="宋体" w:eastAsia="宋体" w:cs="宋体"/>
          <w:color w:val="auto"/>
          <w:highlight w:val="none"/>
          <w:shd w:val="clear" w:color="auto" w:fill="auto"/>
          <w:lang w:val="en-US" w:eastAsia="zh-CN"/>
        </w:rPr>
        <w:t xml:space="preserve">万元结算；不足</w:t>
      </w:r>
      <w:r>
        <w:rPr>
          <w:rFonts w:hint="eastAsia" w:ascii="宋体" w:hAnsi="宋体" w:cs="宋体"/>
          <w:color w:val="auto"/>
          <w:highlight w:val="none"/>
          <w:shd w:val="clear" w:color="auto" w:fill="auto"/>
          <w:lang w:val="en-US" w:eastAsia="zh-CN"/>
        </w:rPr>
        <w:t xml:space="preserve">161.94</w:t>
      </w:r>
      <w:r>
        <w:rPr>
          <w:rFonts w:hint="default" w:ascii="宋体" w:hAnsi="宋体" w:eastAsia="宋体" w:cs="宋体"/>
          <w:color w:val="auto"/>
          <w:highlight w:val="none"/>
          <w:shd w:val="clear" w:color="auto" w:fill="auto"/>
          <w:lang w:val="en-US" w:eastAsia="zh-CN"/>
        </w:rPr>
        <w:t xml:space="preserve">万元，则按实际发生金额结算</w:t>
      </w:r>
      <w:r>
        <w:rPr>
          <w:rFonts w:hint="eastAsia" w:ascii="宋体" w:hAnsi="宋体" w:eastAsia="宋体" w:cs="宋体"/>
          <w:color w:val="auto"/>
          <w:highlight w:val="none"/>
          <w:shd w:val="clear" w:color="auto" w:fill="auto"/>
          <w:lang w:val="en-US" w:eastAsia="zh-CN"/>
        </w:rPr>
        <w:t xml:space="preserve">。</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2、预付款：合同签订后，采购人收到预付款发票后10个工作日内，预付款支付比例：合同金额的30%。（在签订合同时，</w:t>
      </w:r>
      <w:r>
        <w:rPr>
          <w:rFonts w:hint="eastAsia" w:ascii="宋体" w:hAnsi="宋体" w:eastAsia="宋体" w:cs="宋体"/>
          <w:color w:val="auto"/>
          <w:highlight w:val="none"/>
          <w:shd w:val="clear" w:color="auto" w:fill="auto"/>
          <w:lang w:val="en-US" w:eastAsia="zh-CN"/>
        </w:rPr>
        <w:t xml:space="preserve">中标人</w:t>
      </w:r>
      <w:r>
        <w:rPr>
          <w:rFonts w:hint="default" w:ascii="宋体" w:hAnsi="宋体" w:eastAsia="宋体" w:cs="宋体"/>
          <w:color w:val="auto"/>
          <w:highlight w:val="none"/>
          <w:shd w:val="clear" w:color="auto" w:fill="auto"/>
          <w:lang w:val="en-US" w:eastAsia="zh-CN"/>
        </w:rPr>
        <w:t xml:space="preserve">明确书面表示无需预付款或者主动要求降低预付款比例的，采购人可就预付款比例作相应调整）</w:t>
      </w:r>
      <w:r/>
    </w:p>
    <w:p>
      <w:pPr>
        <w:pStyle w:val="2476"/>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进度款：服务费按季度进行结算（结算时须扣除当季度应扣除的预付款），</w:t>
      </w:r>
      <w:r>
        <w:rPr>
          <w:rFonts w:hint="eastAsia" w:ascii="宋体" w:hAnsi="宋体" w:eastAsia="宋体" w:cs="宋体"/>
          <w:color w:val="auto"/>
          <w:highlight w:val="none"/>
          <w:shd w:val="clear" w:color="auto" w:fill="auto"/>
          <w:lang w:val="en-US" w:eastAsia="zh-CN"/>
        </w:rPr>
        <w:t xml:space="preserve">中标人</w:t>
      </w:r>
      <w:r>
        <w:rPr>
          <w:rFonts w:hint="default" w:ascii="宋体" w:hAnsi="宋体" w:eastAsia="宋体" w:cs="宋体"/>
          <w:color w:val="auto"/>
          <w:highlight w:val="none"/>
          <w:shd w:val="clear" w:color="auto" w:fill="auto"/>
          <w:lang w:val="en-US" w:eastAsia="zh-CN"/>
        </w:rPr>
        <w:t xml:space="preserve">在每季度后10日内提供发票及合同，</w:t>
      </w:r>
      <w:r>
        <w:rPr>
          <w:rFonts w:hint="eastAsia" w:ascii="宋体" w:hAnsi="宋体" w:eastAsia="宋体" w:cs="宋体"/>
          <w:color w:val="auto"/>
          <w:highlight w:val="none"/>
          <w:shd w:val="clear" w:color="auto" w:fill="auto"/>
          <w:lang w:val="en-US" w:eastAsia="zh-CN"/>
        </w:rPr>
        <w:t xml:space="preserve">中标人</w:t>
      </w:r>
      <w:r>
        <w:rPr>
          <w:rFonts w:hint="default" w:ascii="宋体" w:hAnsi="宋体" w:eastAsia="宋体" w:cs="宋体"/>
          <w:color w:val="auto"/>
          <w:highlight w:val="none"/>
          <w:shd w:val="clear" w:color="auto" w:fill="auto"/>
          <w:lang w:val="en-US" w:eastAsia="zh-CN"/>
        </w:rPr>
        <w:t xml:space="preserve">向采购人开具增值税发票，采购人在收到增值税发票后的10个工作日内支付相应款项</w:t>
      </w:r>
      <w:r>
        <w:rPr>
          <w:rFonts w:hint="eastAsia" w:ascii="宋体" w:hAnsi="宋体" w:eastAsia="宋体" w:cs="宋体"/>
          <w:color w:val="auto"/>
          <w:highlight w:val="none"/>
          <w:shd w:val="clear" w:color="auto" w:fill="auto"/>
          <w:lang w:val="en-US" w:eastAsia="zh-CN"/>
        </w:rPr>
        <w:t xml:space="preserve">。</w:t>
      </w:r>
      <w:r/>
    </w:p>
    <w:p>
      <w:pPr>
        <w:pStyle w:val="2476"/>
        <w:numPr>
          <w:ilvl w:val="0"/>
          <w:numId w:val="0"/>
        </w:numPr>
        <w:ind w:left="120" w:firstLine="480"/>
        <w:jc w:val="both"/>
        <w:spacing w:beforeAutospacing="0" w:afterAutospacing="0" w:line="500" w:lineRule="exact"/>
        <w:rPr>
          <w:rFonts w:hint="eastAsia" w:ascii="宋体" w:hAnsi="宋体" w:cs="宋体"/>
          <w:color w:val="auto"/>
          <w:sz w:val="24"/>
          <w:szCs w:val="24"/>
          <w:highlight w:val="none"/>
        </w:rPr>
      </w:pPr>
      <w:r>
        <w:rPr>
          <w:rFonts w:hint="default" w:ascii="宋体" w:hAnsi="宋体" w:eastAsia="宋体" w:cs="宋体"/>
          <w:color w:val="auto"/>
          <w:highlight w:val="none"/>
          <w:shd w:val="clear" w:color="auto" w:fill="auto"/>
          <w:lang w:val="en-US" w:eastAsia="zh-CN"/>
        </w:rPr>
        <w:t xml:space="preserve">3、涉及重大安保任务需在外租用清障车的另行结算，如能通过投标人内部调剂解决清障车的不另收费</w:t>
      </w:r>
      <w:r>
        <w:rPr>
          <w:rFonts w:hint="eastAsia" w:ascii="宋体" w:hAnsi="宋体" w:cs="宋体"/>
          <w:color w:val="auto"/>
          <w:sz w:val="24"/>
          <w:szCs w:val="24"/>
          <w:highlight w:val="none"/>
        </w:rPr>
        <w:t xml:space="preserve">。 </w:t>
      </w:r>
      <w:r/>
    </w:p>
    <w:p>
      <w:pPr>
        <w:pStyle w:val="2476"/>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2476"/>
        <w:ind w:firstLine="602"/>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bookmarkStart w:id="162" w:name="_Toc120614281"/>
      <w:r>
        <w:rPr>
          <w:rFonts w:hint="eastAsia" w:ascii="黑体" w:hAnsi="宋体" w:eastAsia="黑体" w:cs="黑体"/>
          <w:color w:val="auto"/>
          <w:sz w:val="44"/>
          <w:szCs w:val="44"/>
          <w:highlight w:val="none"/>
        </w:rPr>
        <w:t xml:space="preserve">第五章  响应文件格式</w:t>
      </w:r>
      <w:r/>
    </w:p>
    <w:p>
      <w:pPr>
        <w:pStyle w:val="2476"/>
        <w:jc w:val="center"/>
        <w:spacing w:beforeAutospacing="0" w:afterAutospacing="0"/>
        <w:rPr>
          <w:rFonts w:hint="eastAsia" w:ascii="宋体" w:hAnsi="宋体" w:cs="宋体"/>
          <w:b/>
          <w:color w:val="auto"/>
          <w:sz w:val="72"/>
          <w:szCs w:val="72"/>
          <w:highlight w:val="none"/>
        </w:rPr>
      </w:pPr>
      <w:r/>
      <w:bookmarkStart w:id="163" w:name="_Toc49090576"/>
      <w:r/>
      <w:bookmarkEnd w:id="163"/>
      <w:r/>
      <w:bookmarkStart w:id="164" w:name="_Toc120614282"/>
      <w:r/>
      <w:bookmarkEnd w:id="164"/>
      <w:r/>
      <w:bookmarkStart w:id="165" w:name="_Hlt26955039"/>
      <w:r/>
      <w:bookmarkStart w:id="166" w:name="_Hlt26671244"/>
      <w:r/>
      <w:bookmarkStart w:id="167" w:name="_Toc26554094"/>
      <w:r/>
      <w:r/>
    </w:p>
    <w:p>
      <w:pPr>
        <w:pStyle w:val="2476"/>
        <w:jc w:val="center"/>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2476"/>
        <w:jc w:val="center"/>
        <w:spacing w:beforeAutospacing="0" w:afterAutospacing="0"/>
        <w:rPr>
          <w:rFonts w:hint="default"/>
          <w:color w:val="auto"/>
          <w:sz w:val="24"/>
          <w:szCs w:val="24"/>
          <w:highlight w:val="none"/>
        </w:rPr>
      </w:pPr>
      <w:r>
        <w:rPr>
          <w:rFonts w:hint="eastAsia" w:ascii="宋体" w:hAnsi="宋体" w:cs="宋体"/>
          <w:b/>
          <w:color w:val="auto"/>
          <w:sz w:val="72"/>
          <w:szCs w:val="72"/>
          <w:highlight w:val="none"/>
        </w:rPr>
        <w:t xml:space="preserve">响  应  文  件</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项 目 名 称：</w:t>
      </w:r>
      <w:r>
        <w:rPr>
          <w:rFonts w:hint="eastAsia" w:ascii="宋体" w:hAnsi="宋体" w:cs="宋体"/>
          <w:b/>
          <w:color w:val="auto"/>
          <w:sz w:val="36"/>
          <w:szCs w:val="36"/>
          <w:highlight w:val="none"/>
          <w:u w:val="single"/>
        </w:rPr>
        <w:t xml:space="preserve">            </w:t>
      </w:r>
      <w:r/>
    </w:p>
    <w:p>
      <w:pPr>
        <w:pStyle w:val="2476"/>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采 购 编 号：</w:t>
      </w:r>
      <w:r>
        <w:rPr>
          <w:rFonts w:hint="eastAsia" w:ascii="宋体" w:hAnsi="宋体" w:cs="宋体"/>
          <w:b/>
          <w:color w:val="auto"/>
          <w:sz w:val="36"/>
          <w:szCs w:val="36"/>
          <w:highlight w:val="none"/>
          <w:u w:val="single"/>
        </w:rPr>
        <w:t xml:space="preserve">            </w:t>
      </w:r>
      <w:r/>
    </w:p>
    <w:p>
      <w:pPr>
        <w:pStyle w:val="2476"/>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供应商名称 ：</w:t>
      </w:r>
      <w:r>
        <w:rPr>
          <w:rFonts w:hint="eastAsia" w:ascii="宋体" w:hAnsi="宋体" w:cs="宋体"/>
          <w:b/>
          <w:color w:val="auto"/>
          <w:sz w:val="36"/>
          <w:szCs w:val="36"/>
          <w:highlight w:val="none"/>
          <w:u w:val="single"/>
        </w:rPr>
        <w:t xml:space="preserve">（加盖CA电子公章）</w:t>
      </w:r>
      <w:r/>
    </w:p>
    <w:p>
      <w:pPr>
        <w:pStyle w:val="2476"/>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日   期 ：</w:t>
      </w:r>
      <w:r>
        <w:rPr>
          <w:rFonts w:hint="eastAsia" w:ascii="宋体" w:hAnsi="宋体" w:cs="宋体"/>
          <w:b/>
          <w:color w:val="auto"/>
          <w:sz w:val="36"/>
          <w:szCs w:val="36"/>
          <w:highlight w:val="none"/>
          <w:u w:val="single"/>
        </w:rPr>
        <w:t xml:space="preserve">              </w:t>
      </w:r>
      <w:r/>
    </w:p>
    <w:p>
      <w:pPr>
        <w:pStyle w:val="2476"/>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476"/>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476"/>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476"/>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476"/>
        <w:jc w:val="center"/>
        <w:spacing w:beforeAutospacing="0" w:afterAutospacing="0" w:line="240" w:lineRule="atLeast"/>
        <w:rPr>
          <w:rFonts w:hint="default"/>
          <w:color w:val="auto"/>
          <w:sz w:val="24"/>
          <w:szCs w:val="24"/>
          <w:highlight w:val="none"/>
        </w:rPr>
      </w:pPr>
      <w:r>
        <w:rPr>
          <w:rFonts w:hint="eastAsia" w:ascii="宋体" w:hAnsi="宋体" w:cs="宋体"/>
          <w:b/>
          <w:color w:val="auto"/>
          <w:sz w:val="32"/>
          <w:szCs w:val="32"/>
          <w:highlight w:val="none"/>
        </w:rPr>
        <w:t xml:space="preserve">响应文件目录</w:t>
      </w:r>
      <w:r/>
    </w:p>
    <w:p>
      <w:pPr>
        <w:pStyle w:val="2476"/>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一、法人或者其他组织的营业执照等证明文件，自然人的身份证明</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二、上一年度的财务状况报告（至少提供资产负债表、利润表、现金流量表，</w:t>
      </w:r>
      <w:r/>
    </w:p>
    <w:p>
      <w:pPr>
        <w:pStyle w:val="2476"/>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协商供应商成立不满一年无需提供）</w:t>
      </w:r>
      <w:r/>
    </w:p>
    <w:p>
      <w:pPr>
        <w:pStyle w:val="2476"/>
        <w:numPr>
          <w:ilvl w:val="0"/>
          <w:numId w:val="1"/>
        </w:numPr>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具备履行合同所必需的设备和专业技术能力的书面声明</w:t>
      </w:r>
      <w:r/>
    </w:p>
    <w:p>
      <w:pPr>
        <w:pStyle w:val="2476"/>
        <w:numPr>
          <w:ilvl w:val="0"/>
          <w:numId w:val="0"/>
        </w:numPr>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五、参加政府采购活动前 3 年内在经营活动中没有重大违法记录的书面声明</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六、特定资格要求的证明文件（如果本项目设置特定资格要求，则需要提供）</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七、法人授权书</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八、单一来源响应函</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九、中小微企业声明函</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十、分项报价表</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十一、技术要求响应及偏离表</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十二、商务要求响应及偏离表</w:t>
      </w:r>
      <w:r/>
    </w:p>
    <w:p>
      <w:pPr>
        <w:pStyle w:val="2476"/>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十三、开标一览表</w:t>
      </w:r>
      <w:r/>
    </w:p>
    <w:p>
      <w:pPr>
        <w:ind w:firstLine="480"/>
        <w:spacing w:before="50" w:after="5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十四、技术方案、服务承诺、培训承诺等</w:t>
      </w:r>
      <w:r/>
    </w:p>
    <w:p>
      <w:pPr>
        <w:pStyle w:val="2476"/>
        <w:ind w:firstLine="48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十五、盐城市政府采购事前信用承诺书</w:t>
      </w:r>
      <w:r/>
    </w:p>
    <w:p>
      <w:pPr>
        <w:pStyle w:val="2476"/>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476"/>
        <w:ind w:firstLine="480"/>
        <w:jc w:val="both"/>
        <w:spacing w:beforeAutospacing="0" w:afterAutospacing="0" w:line="360" w:lineRule="auto"/>
        <w:rPr>
          <w:rFonts w:hint="eastAsia" w:ascii="宋体" w:hAnsi="宋体" w:cs="宋体"/>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2476"/>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eastAsia" w:eastAsia="黑体"/>
          <w:color w:val="auto"/>
          <w:sz w:val="24"/>
          <w:szCs w:val="24"/>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（至少提供资产负债表、利润表、现金流量表，协商供应商成立不满一年无需提供）</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2476"/>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2476"/>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2476"/>
        <w:ind w:firstLine="492"/>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2476"/>
        <w:jc w:val="both"/>
        <w:spacing w:beforeAutospacing="0" w:afterAutospacing="0" w:line="240" w:lineRule="atLeast"/>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2476"/>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2476"/>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2476"/>
        <w:jc w:val="center"/>
        <w:spacing w:beforeAutospacing="0" w:afterAutospacing="0" w:line="240" w:lineRule="atLeast"/>
        <w:rPr>
          <w:rFonts w:hint="default"/>
          <w:color w:val="auto"/>
          <w:sz w:val="24"/>
          <w:szCs w:val="24"/>
          <w:highlight w:val="none"/>
        </w:rPr>
      </w:pPr>
      <w:r>
        <w:rPr>
          <w:rFonts w:hint="eastAsia" w:ascii="宋体" w:hAnsi="宋体" w:cs="宋体"/>
          <w:b/>
          <w:color w:val="auto"/>
          <w:sz w:val="44"/>
          <w:szCs w:val="44"/>
          <w:highlight w:val="none"/>
        </w:rPr>
        <w:t xml:space="preserve">声  明</w:t>
      </w:r>
      <w:r/>
    </w:p>
    <w:p>
      <w:pPr>
        <w:pStyle w:val="2476"/>
        <w:jc w:val="both"/>
        <w:spacing w:beforeAutospacing="0" w:afterAutospacing="0" w:line="240" w:lineRule="atLeast"/>
        <w:rPr>
          <w:rFonts w:hint="default"/>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2476"/>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   如果本项目申请人的特定资格要求中要求提供的，必须提供。</w:t>
      </w:r>
      <w:r/>
    </w:p>
    <w:p>
      <w:pPr>
        <w:pStyle w:val="2476"/>
        <w:jc w:val="center"/>
        <w:spacing w:beforeAutospacing="0" w:afterAutospacing="0"/>
        <w:rPr>
          <w:rFonts w:hint="default"/>
          <w:color w:val="auto"/>
          <w:sz w:val="24"/>
          <w:szCs w:val="24"/>
          <w:highlight w:val="none"/>
        </w:rPr>
      </w:pPr>
      <w:r/>
      <w:bookmarkStart w:id="168" w:name="_Toc120614284"/>
      <w:r>
        <w:rPr>
          <w:rFonts w:hint="eastAsia" w:ascii="黑体" w:hAnsi="宋体" w:eastAsia="黑体" w:cs="黑体"/>
          <w:i/>
          <w:color w:val="auto"/>
          <w:sz w:val="32"/>
          <w:szCs w:val="32"/>
          <w:highlight w:val="none"/>
          <w:u w:val="single"/>
        </w:rPr>
        <w:t xml:space="preserve">七、法人授权书</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本授权书声明：____________（供应商名称）授权________________（被授权人的姓名）为我方就JSZC-320900-JCJS-D2026-0005号项目采购活动的合法代理人，以本单位名义全权处理一切与该项目采购有关的事务。</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pStyle w:val="2476"/>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被授权人身份证号码：</w:t>
      </w:r>
      <w:r>
        <w:rPr>
          <w:rFonts w:hint="eastAsia" w:ascii="Times New Roman" w:hAnsi="Times New Roman" w:eastAsia="Times New Roman"/>
          <w:color w:val="auto"/>
          <w:sz w:val="24"/>
          <w:szCs w:val="24"/>
          <w:highlight w:val="none"/>
          <w:u w:val="single"/>
        </w:rPr>
        <w:t xml:space="preserve">                              </w:t>
      </w:r>
      <w:r/>
    </w:p>
    <w:p>
      <w:pPr>
        <w:pStyle w:val="2476"/>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被授权人联系电话：（手机）</w:t>
      </w:r>
      <w:r>
        <w:rPr>
          <w:rFonts w:hint="eastAsia" w:ascii="Times New Roman" w:hAnsi="Times New Roman" w:eastAsia="Times New Roman"/>
          <w:color w:val="auto"/>
          <w:sz w:val="24"/>
          <w:szCs w:val="24"/>
          <w:highlight w:val="none"/>
          <w:u w:val="single"/>
        </w:rPr>
        <w:t xml:space="preserve">                          </w:t>
      </w:r>
      <w:r/>
    </w:p>
    <w:p>
      <w:pPr>
        <w:pStyle w:val="2476"/>
        <w:ind w:firstLine="120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单位地址：</w:t>
      </w:r>
      <w:r>
        <w:rPr>
          <w:rFonts w:hint="eastAsia" w:ascii="Times New Roman" w:hAnsi="Times New Roman" w:eastAsia="Times New Roman"/>
          <w:color w:val="auto"/>
          <w:sz w:val="24"/>
          <w:szCs w:val="24"/>
          <w:highlight w:val="none"/>
          <w:u w:val="single"/>
        </w:rPr>
        <w:t xml:space="preserve">                                         </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日期：</w:t>
      </w:r>
      <w:bookmarkStart w:id="169" w:name="_Hlt26955070"/>
      <w:r/>
      <w:bookmarkStart w:id="170" w:name="_Hlt26671380"/>
      <w:r/>
      <w:bookmarkStart w:id="171" w:name="_格式3__银行出具的资信证明"/>
      <w:r>
        <w:rPr>
          <w:rFonts w:hint="eastAsia" w:ascii="Times New Roman" w:hAnsi="Times New Roman" w:eastAsia="Times New Roman"/>
          <w:color w:val="auto"/>
          <w:sz w:val="24"/>
          <w:szCs w:val="24"/>
          <w:highlight w:val="none"/>
          <w:u w:val="single"/>
        </w:rPr>
        <w:t xml:space="preserve">                                         </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2476"/>
        <w:ind w:firstLine="42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sectPr>
          <w:headerReference w:type="default" r:id="rId15"/>
          <w:headerReference w:type="even" r:id="rId16"/>
          <w:headerReference w:type="first" r:id="rId17"/>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宋体" w:hAnsi="宋体" w:cs="宋体"/>
          <w:b/>
          <w:color w:val="auto"/>
          <w:sz w:val="24"/>
          <w:szCs w:val="24"/>
          <w:highlight w:val="none"/>
        </w:rPr>
        <w:br w:type="page" w:clear="all"/>
      </w:r>
      <w:r/>
    </w:p>
    <w:p>
      <w:pPr>
        <w:pStyle w:val="2476"/>
        <w:jc w:val="center"/>
        <w:keepLines/>
        <w:keepNext/>
        <w:spacing w:before="260" w:beforeAutospacing="0" w:after="260" w:afterAutospacing="0" w:line="415" w:lineRule="auto"/>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八、单一来源响应函</w:t>
      </w:r>
      <w:r/>
    </w:p>
    <w:p>
      <w:pPr>
        <w:pStyle w:val="2476"/>
        <w:spacing w:beforeAutospacing="0" w:afterAutospacing="0" w:line="240" w:lineRule="atLeast"/>
        <w:rPr>
          <w:rFonts w:hint="eastAsia"/>
          <w:color w:val="auto"/>
          <w:sz w:val="24"/>
          <w:szCs w:val="24"/>
          <w:highlight w:val="none"/>
        </w:rPr>
      </w:pPr>
      <w:r>
        <w:rPr>
          <w:rFonts w:hint="eastAsia" w:ascii="宋体" w:hAnsi="宋体" w:cs="宋体"/>
          <w:color w:val="auto"/>
          <w:sz w:val="24"/>
          <w:szCs w:val="24"/>
          <w:highlight w:val="none"/>
        </w:rPr>
        <w:t xml:space="preserve">致：江苏捷诚建设项目管理咨询有限公司</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号采购文件，正式授权下述签字人______(姓名)代表我方______________（供应商的名称），全权处理本次项目单一来源采购的有关事宜。</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1.按采购文件规定的各项要求，向买方提供所需货物、服务（包含与货物相关的服务及与服务相关的货物）。</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2.我们已详细审核全部采购文件及其有效补充文件，我们知道必须放弃提出含糊不清或误解问题的权利。</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3.我们同意从规定的单一来源协商时间起遵循本响应文件，并在规定的单一来源协商有效期期满之前均具有约束力。</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4.同意向贵方提供贵方可能另外要求的与单一来源采购有关的任何证据或资料，并保证我方已提供和将要提供的文件是真实的、准确的。</w:t>
      </w:r>
      <w:r/>
    </w:p>
    <w:p>
      <w:pPr>
        <w:pStyle w:val="2476"/>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5.一旦我方成交,我方将根据采购文件的规定，严格履行合同的责任和义务,并保证在采购文件规定的时间完成项目，交付买方验收、使用。</w:t>
      </w:r>
      <w:r/>
    </w:p>
    <w:p>
      <w:pPr>
        <w:pStyle w:val="2476"/>
        <w:ind w:left="425"/>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6.我方与本次单一来源采购有关的正式通讯地址为：</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地          址：</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邮          编：</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电          话：</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传          真：</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供应商开户行：</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账          号： </w:t>
      </w:r>
      <w:r/>
    </w:p>
    <w:p>
      <w:pPr>
        <w:pStyle w:val="2476"/>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476"/>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476"/>
        <w:jc w:val="center"/>
        <w:spacing w:beforeAutospacing="0" w:afterAutospacing="0" w:line="240" w:lineRule="atLeast"/>
        <w:rPr>
          <w:rFonts w:hint="default"/>
          <w:color w:val="auto"/>
          <w:sz w:val="24"/>
          <w:szCs w:val="24"/>
          <w:highlight w:val="none"/>
        </w:rPr>
      </w:pPr>
      <w:r>
        <w:rPr>
          <w:rFonts w:hint="eastAsia" w:ascii="黑体" w:hAnsi="宋体" w:eastAsia="黑体" w:cs="黑体"/>
          <w:b/>
          <w:color w:val="auto"/>
          <w:sz w:val="32"/>
          <w:szCs w:val="32"/>
          <w:highlight w:val="none"/>
        </w:rPr>
        <w:t xml:space="preserve">九、中小微企业声明函（服务）（分包号：**）</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 号）的规定，本公司（联合体）参加江苏捷诚建设项目管理咨询有限公司组织的</w:t>
      </w:r>
      <w:r>
        <w:rPr>
          <w:rFonts w:hint="eastAsia"/>
          <w:i/>
          <w:color w:val="auto"/>
          <w:sz w:val="24"/>
          <w:szCs w:val="24"/>
          <w:highlight w:val="none"/>
          <w:u w:val="single"/>
        </w:rPr>
        <w:t xml:space="preserve">盐城市公安局</w:t>
      </w:r>
      <w:r>
        <w:rPr>
          <w:rFonts w:hint="eastAsia"/>
          <w:color w:val="auto"/>
          <w:sz w:val="24"/>
          <w:szCs w:val="20"/>
          <w:highlight w:val="none"/>
        </w:rPr>
        <w:t xml:space="preserve">，</w:t>
      </w:r>
      <w:r>
        <w:rPr>
          <w:rFonts w:hint="eastAsia"/>
          <w:color w:val="auto"/>
          <w:sz w:val="24"/>
          <w:szCs w:val="24"/>
          <w:highlight w:val="none"/>
        </w:rPr>
        <w:t xml:space="preserve">采购编号为</w:t>
      </w:r>
      <w:r>
        <w:rPr>
          <w:rFonts w:hint="eastAsia"/>
          <w:color w:val="auto"/>
          <w:sz w:val="24"/>
          <w:szCs w:val="24"/>
          <w:highlight w:val="none"/>
          <w:u w:val="single"/>
        </w:rPr>
        <w:t xml:space="preserve">     </w:t>
      </w:r>
      <w:r>
        <w:rPr>
          <w:rFonts w:hint="eastAsia"/>
          <w:color w:val="auto"/>
          <w:sz w:val="24"/>
          <w:szCs w:val="24"/>
          <w:highlight w:val="none"/>
        </w:rPr>
        <w:t xml:space="preserve">的</w:t>
      </w:r>
      <w:r>
        <w:rPr>
          <w:rFonts w:hint="eastAsia"/>
          <w:i/>
          <w:color w:val="auto"/>
          <w:sz w:val="24"/>
          <w:szCs w:val="24"/>
          <w:highlight w:val="none"/>
          <w:u w:val="single"/>
        </w:rPr>
        <w:t xml:space="preserve">（项目名称）</w:t>
      </w:r>
      <w:r>
        <w:rPr>
          <w:rFonts w:hint="eastAsia"/>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pStyle w:val="2476"/>
        <w:ind w:right="72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right="180" w:firstLine="360"/>
        <w:jc w:val="right"/>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2476"/>
        <w:ind w:right="480" w:firstLine="540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w:t>
      </w:r>
      <w:r/>
    </w:p>
    <w:p>
      <w:pPr>
        <w:pStyle w:val="2476"/>
        <w:ind w:firstLine="24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pStyle w:val="2476"/>
        <w:ind w:firstLine="645"/>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备注2：供应商如不提供此声明函，价格将不做相应扣除（如项目全面面向中小企业，则资格审查不通过）。</w:t>
      </w:r>
      <w:r/>
    </w:p>
    <w:p>
      <w:pPr>
        <w:pStyle w:val="2476"/>
        <w:ind w:firstLine="645"/>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rPr>
          <w:rFonts w:hint="eastAsia" w:ascii="宋体" w:hAnsi="宋体" w:cs="宋体"/>
          <w:b/>
          <w:color w:val="auto"/>
          <w:sz w:val="32"/>
          <w:szCs w:val="32"/>
          <w:highlight w:val="none"/>
        </w:rPr>
        <w:t xml:space="preserve">十、分项报价表（服务类）</w:t>
      </w:r>
      <w:r/>
    </w:p>
    <w:tbl>
      <w:tblPr>
        <w:tblStyle w:val="2471"/>
        <w:tblW w:w="9120" w:type="dxa"/>
        <w:jc w:val="center"/>
        <w:tblLayout w:type="fixed"/>
        <w:tblCellMar>
          <w:left w:w="108" w:type="dxa"/>
          <w:top w:w="0" w:type="dxa"/>
          <w:right w:w="108" w:type="dxa"/>
          <w:bottom w:w="0" w:type="dxa"/>
        </w:tblCellMar>
        <w:tblLook w:val="04A0" w:firstRow="1" w:lastRow="0" w:firstColumn="1" w:lastColumn="0" w:noHBand="0" w:noVBand="1"/>
      </w:tblPr>
      <w:tblGrid>
        <w:gridCol w:w="2780"/>
        <w:gridCol w:w="3220"/>
        <w:gridCol w:w="3120"/>
      </w:tblGrid>
      <w:tr>
        <w:trPr>
          <w:jc w:val="center"/>
          <w:trHeight w:val="540"/>
        </w:trPr>
        <w:tc>
          <w:tcPr>
            <w:tcBorders>
              <w:top w:val="single" w:color="auto" w:sz="4" w:space="0"/>
              <w:left w:val="single" w:color="auto" w:sz="4" w:space="0"/>
              <w:bottom w:val="none" w:color="000000"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车型</w:t>
            </w:r>
            <w:r/>
          </w:p>
        </w:tc>
        <w:tc>
          <w:tcPr>
            <w:tcBorders>
              <w:top w:val="single" w:color="auto"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清拖费（元/辆次）</w:t>
            </w:r>
            <w:r/>
          </w:p>
        </w:tc>
        <w:tc>
          <w:tcPr>
            <w:tcBorders>
              <w:top w:val="single" w:color="auto"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停放保管费（元/辆天）</w:t>
            </w:r>
            <w:r/>
          </w:p>
        </w:tc>
      </w:tr>
      <w:tr>
        <w:trPr>
          <w:jc w:val="center"/>
          <w:trHeight w:val="525"/>
        </w:trPr>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大型车（含新能源）</w:t>
            </w:r>
            <w:r/>
          </w:p>
        </w:tc>
        <w:tc>
          <w:tcPr>
            <w:tcBorders>
              <w:top w:val="single" w:color="auto"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小客车（含新能源）</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农用车（含拖拉机）</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小货车、皮卡、正三轮</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1207"/>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低速小型电动车、货车（非标、老年代步车类）</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摩托车</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电摩（含电动自行车）</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自行车</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25"/>
        </w:trPr>
        <w:tc>
          <w:tcPr>
            <w:tcBorders>
              <w:top w:val="none" w:color="000000" w:sz="4" w:space="0"/>
              <w:left w:val="single" w:color="auto" w:sz="4" w:space="0"/>
              <w:bottom w:val="single" w:color="auto" w:sz="4" w:space="0"/>
              <w:right w:val="single" w:color="auto" w:sz="4" w:space="0"/>
            </w:tcBorders>
            <w:tcW w:w="278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人力三轮</w:t>
            </w:r>
            <w:r/>
          </w:p>
        </w:tc>
        <w:tc>
          <w:tcPr>
            <w:tcBorders>
              <w:top w:val="none" w:color="000000" w:sz="4" w:space="0"/>
              <w:left w:val="none" w:color="000000" w:sz="4" w:space="0"/>
              <w:bottom w:val="single" w:color="auto" w:sz="4" w:space="0"/>
              <w:right w:val="single" w:color="auto" w:sz="4" w:space="0"/>
            </w:tcBorders>
            <w:tcW w:w="32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spacing w:line="48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ind w:firstLine="4320"/>
        <w:jc w:val="both"/>
        <w:spacing w:beforeAutospacing="0" w:afterAutospacing="0"/>
        <w:rPr>
          <w:rFonts w:hint="eastAsia"/>
          <w:color w:val="auto"/>
          <w:sz w:val="24"/>
          <w:szCs w:val="24"/>
          <w:highlight w:val="none"/>
        </w:rPr>
      </w:pPr>
      <w:r>
        <w:rPr>
          <w:rFonts w:hint="eastAsia"/>
          <w:color w:val="auto"/>
          <w:sz w:val="24"/>
          <w:szCs w:val="24"/>
          <w:highlight w:val="none"/>
        </w:rPr>
        <w:t xml:space="preserve">投标人（盖章）</w:t>
      </w:r>
      <w:r>
        <w:rPr>
          <w:rFonts w:hint="default"/>
          <w:color w:val="auto"/>
          <w:sz w:val="24"/>
          <w:szCs w:val="24"/>
          <w:highlight w:val="none"/>
        </w:rPr>
        <w:t xml:space="preserve"> </w:t>
      </w:r>
      <w:r>
        <w:rPr>
          <w:rFonts w:hint="eastAsia"/>
          <w:color w:val="auto"/>
          <w:sz w:val="24"/>
          <w:szCs w:val="24"/>
          <w:highlight w:val="none"/>
        </w:rPr>
        <w:t xml:space="preserve">：</w:t>
      </w:r>
      <w:r/>
    </w:p>
    <w:p>
      <w:pPr>
        <w:pStyle w:val="2476"/>
        <w:ind w:firstLine="4320"/>
        <w:jc w:val="both"/>
        <w:spacing w:beforeAutospacing="0" w:afterAutospacing="0"/>
        <w:rPr>
          <w:rFonts w:hint="default"/>
          <w:color w:val="auto"/>
          <w:sz w:val="24"/>
          <w:szCs w:val="24"/>
          <w:highlight w:val="none"/>
        </w:rPr>
      </w:pPr>
      <w:r>
        <w:rPr>
          <w:rFonts w:hint="eastAsia"/>
          <w:color w:val="auto"/>
          <w:sz w:val="24"/>
          <w:szCs w:val="24"/>
          <w:highlight w:val="none"/>
        </w:rPr>
        <w:t xml:space="preserve">日期：年月日</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eastAsia" w:ascii="黑体" w:hAnsi="宋体" w:eastAsia="黑体" w:cs="黑体"/>
          <w:b/>
          <w:color w:val="auto"/>
          <w:sz w:val="32"/>
          <w:szCs w:val="32"/>
          <w:highlight w:val="none"/>
        </w:rPr>
        <w:t xml:space="preserve">十一、技术要求响应及偏离表（分包号：**）</w:t>
      </w:r>
      <w:r/>
    </w:p>
    <w:tbl>
      <w:tblPr>
        <w:tblStyle w:val="2471"/>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2476"/>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476"/>
        <w:jc w:val="center"/>
        <w:spacing w:beforeAutospacing="0" w:afterAutospacing="0"/>
        <w:rPr>
          <w:rFonts w:hint="default"/>
          <w:color w:val="auto"/>
          <w:sz w:val="24"/>
          <w:szCs w:val="24"/>
          <w:highlight w:val="none"/>
        </w:rPr>
      </w:pPr>
      <w:r/>
      <w:bookmarkStart w:id="172" w:name="_Hlt26955054"/>
      <w:r>
        <w:rPr>
          <w:rFonts w:hint="eastAsia" w:ascii="黑体" w:hAnsi="宋体" w:eastAsia="黑体" w:cs="黑体"/>
          <w:b/>
          <w:color w:val="auto"/>
          <w:sz w:val="32"/>
          <w:szCs w:val="32"/>
          <w:highlight w:val="none"/>
        </w:rPr>
        <w:t xml:space="preserve">十二、商务要求响应及偏离表（分包号：**）</w:t>
      </w:r>
      <w:r/>
    </w:p>
    <w:tbl>
      <w:tblPr>
        <w:tblStyle w:val="2471"/>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bookmarkStart w:id="173" w:name="_Hlt26580838"/>
            <w:r/>
            <w:bookmarkStart w:id="174" w:name="_Hlt26671372"/>
            <w:r/>
            <w:bookmarkStart w:id="175" w:name="_Hlt26609391"/>
            <w:r/>
            <w:bookmarkStart w:id="176" w:name="_Hlt26955064"/>
            <w:r/>
            <w:bookmarkStart w:id="177" w:name="_Hlt26955056"/>
            <w:r/>
            <w:bookmarkStart w:id="178" w:name="_Hlt26782999"/>
            <w:r/>
            <w:bookmarkStart w:id="179" w:name="_Hlt24879081"/>
            <w:r/>
            <w:bookmarkStart w:id="180" w:name="_Hlt26671343"/>
            <w:r>
              <w:rPr>
                <w:rFonts w:hint="eastAsia" w:ascii="宋体" w:hAnsi="宋体" w:cs="宋体"/>
                <w:color w:val="auto"/>
                <w:sz w:val="24"/>
                <w:szCs w:val="24"/>
                <w:highlight w:val="none"/>
              </w:rPr>
              <w:t xml:space="preserve">序号</w:t>
            </w:r>
            <w:bookmarkEnd w:id="173"/>
            <w:r/>
            <w:bookmarkEnd w:id="174"/>
            <w:r/>
            <w:bookmarkEnd w:id="175"/>
            <w:r/>
            <w:bookmarkEnd w:id="176"/>
            <w:r/>
            <w:bookmarkEnd w:id="177"/>
            <w:r/>
            <w:bookmarkEnd w:id="178"/>
            <w:r/>
            <w:bookmarkEnd w:id="179"/>
            <w:r/>
            <w:bookmarkEnd w:id="180"/>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2476"/>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2476"/>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2476"/>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2476"/>
        <w:jc w:val="both"/>
        <w:spacing w:beforeAutospacing="0" w:afterAutospacing="0" w:line="480" w:lineRule="auto"/>
        <w:rPr>
          <w:rFonts w:hint="default"/>
          <w:color w:val="auto"/>
          <w:sz w:val="24"/>
          <w:szCs w:val="24"/>
          <w:highlight w:val="none"/>
        </w:rPr>
      </w:pPr>
      <w:r>
        <w:rPr>
          <w:rFonts w:hint="default"/>
          <w:color w:val="auto"/>
          <w:sz w:val="24"/>
          <w:szCs w:val="24"/>
          <w:highlight w:val="none"/>
        </w:rPr>
      </w:r>
      <w:bookmarkEnd w:id="2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4"/>
      <w:r/>
      <w:bookmarkEnd w:id="155"/>
      <w:r/>
      <w:bookmarkEnd w:id="162"/>
      <w:r/>
      <w:bookmarkEnd w:id="165"/>
      <w:r/>
      <w:bookmarkEnd w:id="166"/>
      <w:r/>
      <w:bookmarkEnd w:id="167"/>
      <w:r/>
      <w:bookmarkEnd w:id="168"/>
      <w:r/>
      <w:bookmarkEnd w:id="169"/>
      <w:r/>
      <w:bookmarkEnd w:id="170"/>
      <w:r/>
      <w:bookmarkEnd w:id="171"/>
      <w:r/>
      <w:bookmarkEnd w:id="172"/>
      <w:r/>
      <w:r/>
    </w:p>
    <w:p>
      <w:pPr>
        <w:pStyle w:val="2476"/>
        <w:jc w:val="center"/>
        <w:spacing w:beforeAutospacing="0" w:afterAutospacing="0"/>
        <w:rPr>
          <w:rFonts w:hint="eastAsia" w:ascii="黑体" w:hAnsi="宋体" w:eastAsia="黑体" w:cs="黑体"/>
          <w:b/>
          <w:i/>
          <w:color w:val="auto"/>
          <w:sz w:val="32"/>
          <w:szCs w:val="32"/>
          <w:highlight w:val="none"/>
          <w:u w:val="single"/>
        </w:rPr>
        <w:sectPr>
          <w:headerReference w:type="default" r:id="rId18"/>
          <w:headerReference w:type="even" r:id="rId19"/>
          <w:headerReference w:type="first" r:id="rId20"/>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i/>
          <w:color w:val="auto"/>
          <w:sz w:val="32"/>
          <w:szCs w:val="32"/>
          <w:highlight w:val="none"/>
          <w:u w:val="single"/>
        </w:rPr>
      </w:r>
      <w:r/>
    </w:p>
    <w:p>
      <w:pPr>
        <w:pStyle w:val="2476"/>
        <w:jc w:val="center"/>
        <w:spacing w:beforeAutospacing="0" w:afterAutospacing="0"/>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十三、开标一览表</w:t>
      </w:r>
      <w:r/>
    </w:p>
    <w:p>
      <w:pPr>
        <w:pStyle w:val="2476"/>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476"/>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476"/>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投标人全称（加盖CA电子签章）：</w:t>
      </w:r>
      <w:r/>
    </w:p>
    <w:p>
      <w:pPr>
        <w:pStyle w:val="2476"/>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项目名称：</w:t>
      </w:r>
      <w:r/>
    </w:p>
    <w:p>
      <w:pPr>
        <w:pStyle w:val="2476"/>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2476"/>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分包号：</w:t>
      </w:r>
      <w:r/>
    </w:p>
    <w:tbl>
      <w:tblPr>
        <w:tblStyle w:val="2471"/>
        <w:tblW w:w="8206" w:type="dxa"/>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476"/>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476"/>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476"/>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小写：                        （人民币：元）</w:t>
            </w:r>
            <w:r/>
          </w:p>
        </w:tc>
      </w:tr>
    </w:tbl>
    <w:p>
      <w:pPr>
        <w:pStyle w:val="2476"/>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476"/>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2476"/>
        <w:ind w:firstLine="480"/>
        <w:jc w:val="both"/>
        <w:spacing w:beforeAutospacing="0" w:afterAutospacing="0"/>
        <w:rPr>
          <w:rFonts w:hint="default"/>
          <w:sz w:val="24"/>
          <w:szCs w:val="24"/>
          <w:highlight w:val="none"/>
        </w:rPr>
      </w:pPr>
      <w:r>
        <w:rPr>
          <w:rFonts w:hint="default"/>
          <w:sz w:val="24"/>
          <w:szCs w:val="24"/>
          <w:highlight w:val="none"/>
        </w:rPr>
        <w:t xml:space="preserve"> </w:t>
      </w:r>
      <w:r/>
    </w:p>
    <w:p>
      <w:pPr>
        <w:pStyle w:val="2476"/>
        <w:ind w:firstLine="480"/>
        <w:jc w:val="both"/>
        <w:spacing w:beforeAutospacing="0" w:afterAutospacing="0" w:line="2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before="50" w:after="50"/>
        <w:widowControl/>
        <w:rPr>
          <w:rFonts w:hint="default"/>
          <w:sz w:val="21"/>
          <w:szCs w:val="24"/>
          <w:highlight w:val="none"/>
        </w:rPr>
      </w:pPr>
      <w:r>
        <w:rPr>
          <w:rFonts w:hint="default"/>
          <w:sz w:val="21"/>
          <w:szCs w:val="24"/>
          <w:highlight w:val="none"/>
        </w:rPr>
        <w:tab/>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宋体" w:hAnsi="宋体" w:cs="宋体"/>
          <w:color w:val="auto"/>
          <w:sz w:val="24"/>
          <w:szCs w:val="24"/>
          <w:highlight w:val="none"/>
        </w:rPr>
      </w:pPr>
      <w:r>
        <w:rPr>
          <w:rFonts w:hint="eastAsia" w:ascii="宋体" w:hAnsi="宋体" w:cs="宋体"/>
          <w:color w:val="auto"/>
          <w:sz w:val="32"/>
          <w:szCs w:val="32"/>
          <w:highlight w:val="none"/>
        </w:rPr>
        <w:t xml:space="preserve">十四、技术方案、服务承诺、培训承诺等</w:t>
      </w:r>
      <w:r/>
    </w:p>
    <w:p>
      <w:pPr>
        <w:pStyle w:val="2476"/>
        <w:jc w:val="both"/>
        <w:spacing w:beforeAutospacing="0" w:afterAutospacing="0"/>
        <w:tabs>
          <w:tab w:val="left" w:pos="2160" w:leader="none"/>
        </w:tabs>
        <w:rPr>
          <w:rFonts w:hint="default"/>
          <w:color w:val="auto"/>
          <w:sz w:val="24"/>
          <w:szCs w:val="24"/>
          <w:highlight w:val="none"/>
        </w:rPr>
      </w:pPr>
      <w:r>
        <w:rPr>
          <w:rFonts w:hint="default"/>
          <w:color w:val="auto"/>
          <w:sz w:val="24"/>
          <w:szCs w:val="24"/>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十五、盐城市政府采购事前信用承诺书</w:t>
      </w:r>
      <w:r/>
    </w:p>
    <w:p>
      <w:pPr>
        <w:ind w:firstLine="640"/>
        <w:jc w:val="left"/>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 </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法定代表人签名：</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pStyle w:val="2476"/>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default"/>
          <w:color w:val="auto"/>
          <w:sz w:val="21"/>
          <w:szCs w:val="24"/>
          <w:highlight w:val="none"/>
        </w:rPr>
      </w:pPr>
      <w:r>
        <w:rPr>
          <w:rFonts w:hint="default"/>
          <w:color w:val="auto"/>
          <w:sz w:val="21"/>
          <w:szCs w:val="24"/>
          <w:highlight w:val="none"/>
        </w:rPr>
      </w:r>
      <w:r/>
    </w:p>
    <w:p>
      <w:pPr>
        <w:pStyle w:val="2476"/>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2476"/>
        <w:jc w:val="both"/>
        <w:spacing w:before="290"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一、质疑供应商基本信息</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二、质疑项目基本情况</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三、质疑事项具体内容</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pStyle w:val="2476"/>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质疑事项2</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四、与质疑事项相关的质疑请求</w:t>
      </w:r>
      <w:r/>
    </w:p>
    <w:p>
      <w:pPr>
        <w:pStyle w:val="2476"/>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pStyle w:val="2476"/>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日期：    </w:t>
      </w:r>
      <w:r/>
    </w:p>
    <w:p>
      <w:pPr>
        <w:pStyle w:val="2476"/>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质疑函制作说明：</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pStyle w:val="2476"/>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headerReference w:type="default" r:id="rId21"/>
      <w:headerReference w:type="even" r:id="rId22"/>
      <w:headerReference w:type="first" r:id="rId23"/>
      <w:footnotePr/>
      <w:endnotePr/>
      <w:type w:val="nextPage"/>
      <w:pgSz w:w="12240" w:h="15840" w:orient="portrait"/>
      <w:pgMar w:top="1440" w:right="1800" w:bottom="1440" w:left="1800" w:header="720" w:footer="720" w:gutter="0"/>
      <w:lnNumType w:countBy="0" w:distance="3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7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5" o:spid="_x0000_s4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70329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70432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70534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盐城市公安局交警支队涉案车辆清拖及存放服务采购项目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3"/>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93">
    <w:name w:val="Heading 1"/>
    <w:basedOn w:val="2469"/>
    <w:next w:val="2469"/>
    <w:link w:val="2294"/>
    <w:uiPriority w:val="9"/>
    <w:qFormat/>
    <w:pPr>
      <w:keepLines/>
      <w:keepNext/>
      <w:spacing w:before="480" w:after="200"/>
      <w:outlineLvl w:val="0"/>
    </w:pPr>
    <w:rPr>
      <w:rFonts w:ascii="Arial" w:hAnsi="Arial" w:eastAsia="Arial" w:cs="Arial"/>
      <w:sz w:val="40"/>
      <w:szCs w:val="40"/>
    </w:rPr>
  </w:style>
  <w:style w:type="character" w:styleId="2294">
    <w:name w:val="Heading 1 Char"/>
    <w:basedOn w:val="2470"/>
    <w:link w:val="2293"/>
    <w:uiPriority w:val="9"/>
    <w:rPr>
      <w:rFonts w:ascii="Arial" w:hAnsi="Arial" w:eastAsia="Arial" w:cs="Arial"/>
      <w:sz w:val="40"/>
      <w:szCs w:val="40"/>
    </w:rPr>
  </w:style>
  <w:style w:type="paragraph" w:styleId="2295">
    <w:name w:val="Heading 2"/>
    <w:basedOn w:val="2469"/>
    <w:next w:val="2469"/>
    <w:link w:val="2296"/>
    <w:uiPriority w:val="9"/>
    <w:unhideWhenUsed/>
    <w:qFormat/>
    <w:pPr>
      <w:keepLines/>
      <w:keepNext/>
      <w:spacing w:before="360" w:after="200"/>
      <w:outlineLvl w:val="1"/>
    </w:pPr>
    <w:rPr>
      <w:rFonts w:ascii="Arial" w:hAnsi="Arial" w:eastAsia="Arial" w:cs="Arial"/>
      <w:sz w:val="34"/>
    </w:rPr>
  </w:style>
  <w:style w:type="character" w:styleId="2296">
    <w:name w:val="Heading 2 Char"/>
    <w:basedOn w:val="2470"/>
    <w:link w:val="2295"/>
    <w:uiPriority w:val="9"/>
    <w:rPr>
      <w:rFonts w:ascii="Arial" w:hAnsi="Arial" w:eastAsia="Arial" w:cs="Arial"/>
      <w:sz w:val="34"/>
    </w:rPr>
  </w:style>
  <w:style w:type="paragraph" w:styleId="2297">
    <w:name w:val="Heading 3"/>
    <w:basedOn w:val="2469"/>
    <w:next w:val="2469"/>
    <w:link w:val="2298"/>
    <w:uiPriority w:val="9"/>
    <w:unhideWhenUsed/>
    <w:qFormat/>
    <w:pPr>
      <w:keepLines/>
      <w:keepNext/>
      <w:spacing w:before="320" w:after="200"/>
      <w:outlineLvl w:val="2"/>
    </w:pPr>
    <w:rPr>
      <w:rFonts w:ascii="Arial" w:hAnsi="Arial" w:eastAsia="Arial" w:cs="Arial"/>
      <w:sz w:val="30"/>
      <w:szCs w:val="30"/>
    </w:rPr>
  </w:style>
  <w:style w:type="character" w:styleId="2298">
    <w:name w:val="Heading 3 Char"/>
    <w:basedOn w:val="2470"/>
    <w:link w:val="2297"/>
    <w:uiPriority w:val="9"/>
    <w:rPr>
      <w:rFonts w:ascii="Arial" w:hAnsi="Arial" w:eastAsia="Arial" w:cs="Arial"/>
      <w:sz w:val="30"/>
      <w:szCs w:val="30"/>
    </w:rPr>
  </w:style>
  <w:style w:type="paragraph" w:styleId="2299">
    <w:name w:val="Heading 4"/>
    <w:basedOn w:val="2469"/>
    <w:next w:val="2469"/>
    <w:link w:val="2300"/>
    <w:uiPriority w:val="9"/>
    <w:unhideWhenUsed/>
    <w:qFormat/>
    <w:pPr>
      <w:keepLines/>
      <w:keepNext/>
      <w:spacing w:before="320" w:after="200"/>
      <w:outlineLvl w:val="3"/>
    </w:pPr>
    <w:rPr>
      <w:rFonts w:ascii="Arial" w:hAnsi="Arial" w:eastAsia="Arial" w:cs="Arial"/>
      <w:b/>
      <w:bCs/>
      <w:sz w:val="26"/>
      <w:szCs w:val="26"/>
    </w:rPr>
  </w:style>
  <w:style w:type="character" w:styleId="2300">
    <w:name w:val="Heading 4 Char"/>
    <w:basedOn w:val="2470"/>
    <w:link w:val="2299"/>
    <w:uiPriority w:val="9"/>
    <w:rPr>
      <w:rFonts w:ascii="Arial" w:hAnsi="Arial" w:eastAsia="Arial" w:cs="Arial"/>
      <w:b/>
      <w:bCs/>
      <w:sz w:val="26"/>
      <w:szCs w:val="26"/>
    </w:rPr>
  </w:style>
  <w:style w:type="paragraph" w:styleId="2301">
    <w:name w:val="Heading 5"/>
    <w:basedOn w:val="2469"/>
    <w:next w:val="2469"/>
    <w:link w:val="2302"/>
    <w:uiPriority w:val="9"/>
    <w:unhideWhenUsed/>
    <w:qFormat/>
    <w:pPr>
      <w:keepLines/>
      <w:keepNext/>
      <w:spacing w:before="320" w:after="200"/>
      <w:outlineLvl w:val="4"/>
    </w:pPr>
    <w:rPr>
      <w:rFonts w:ascii="Arial" w:hAnsi="Arial" w:eastAsia="Arial" w:cs="Arial"/>
      <w:b/>
      <w:bCs/>
      <w:sz w:val="24"/>
      <w:szCs w:val="24"/>
    </w:rPr>
  </w:style>
  <w:style w:type="character" w:styleId="2302">
    <w:name w:val="Heading 5 Char"/>
    <w:basedOn w:val="2470"/>
    <w:link w:val="2301"/>
    <w:uiPriority w:val="9"/>
    <w:rPr>
      <w:rFonts w:ascii="Arial" w:hAnsi="Arial" w:eastAsia="Arial" w:cs="Arial"/>
      <w:b/>
      <w:bCs/>
      <w:sz w:val="24"/>
      <w:szCs w:val="24"/>
    </w:rPr>
  </w:style>
  <w:style w:type="paragraph" w:styleId="2303">
    <w:name w:val="Heading 6"/>
    <w:basedOn w:val="2469"/>
    <w:next w:val="2469"/>
    <w:link w:val="2304"/>
    <w:uiPriority w:val="9"/>
    <w:unhideWhenUsed/>
    <w:qFormat/>
    <w:pPr>
      <w:keepLines/>
      <w:keepNext/>
      <w:spacing w:before="320" w:after="200"/>
      <w:outlineLvl w:val="5"/>
    </w:pPr>
    <w:rPr>
      <w:rFonts w:ascii="Arial" w:hAnsi="Arial" w:eastAsia="Arial" w:cs="Arial"/>
      <w:b/>
      <w:bCs/>
      <w:sz w:val="22"/>
      <w:szCs w:val="22"/>
    </w:rPr>
  </w:style>
  <w:style w:type="character" w:styleId="2304">
    <w:name w:val="Heading 6 Char"/>
    <w:basedOn w:val="2470"/>
    <w:link w:val="2303"/>
    <w:uiPriority w:val="9"/>
    <w:rPr>
      <w:rFonts w:ascii="Arial" w:hAnsi="Arial" w:eastAsia="Arial" w:cs="Arial"/>
      <w:b/>
      <w:bCs/>
      <w:sz w:val="22"/>
      <w:szCs w:val="22"/>
    </w:rPr>
  </w:style>
  <w:style w:type="paragraph" w:styleId="2305">
    <w:name w:val="Heading 7"/>
    <w:basedOn w:val="2469"/>
    <w:next w:val="2469"/>
    <w:link w:val="2306"/>
    <w:uiPriority w:val="9"/>
    <w:unhideWhenUsed/>
    <w:qFormat/>
    <w:pPr>
      <w:keepLines/>
      <w:keepNext/>
      <w:spacing w:before="320" w:after="200"/>
      <w:outlineLvl w:val="6"/>
    </w:pPr>
    <w:rPr>
      <w:rFonts w:ascii="Arial" w:hAnsi="Arial" w:eastAsia="Arial" w:cs="Arial"/>
      <w:b/>
      <w:bCs/>
      <w:i/>
      <w:iCs/>
      <w:sz w:val="22"/>
      <w:szCs w:val="22"/>
    </w:rPr>
  </w:style>
  <w:style w:type="character" w:styleId="2306">
    <w:name w:val="Heading 7 Char"/>
    <w:basedOn w:val="2470"/>
    <w:link w:val="2305"/>
    <w:uiPriority w:val="9"/>
    <w:rPr>
      <w:rFonts w:ascii="Arial" w:hAnsi="Arial" w:eastAsia="Arial" w:cs="Arial"/>
      <w:b/>
      <w:bCs/>
      <w:i/>
      <w:iCs/>
      <w:sz w:val="22"/>
      <w:szCs w:val="22"/>
    </w:rPr>
  </w:style>
  <w:style w:type="paragraph" w:styleId="2307">
    <w:name w:val="Heading 8"/>
    <w:basedOn w:val="2469"/>
    <w:next w:val="2469"/>
    <w:link w:val="2308"/>
    <w:uiPriority w:val="9"/>
    <w:unhideWhenUsed/>
    <w:qFormat/>
    <w:pPr>
      <w:keepLines/>
      <w:keepNext/>
      <w:spacing w:before="320" w:after="200"/>
      <w:outlineLvl w:val="7"/>
    </w:pPr>
    <w:rPr>
      <w:rFonts w:ascii="Arial" w:hAnsi="Arial" w:eastAsia="Arial" w:cs="Arial"/>
      <w:i/>
      <w:iCs/>
      <w:sz w:val="22"/>
      <w:szCs w:val="22"/>
    </w:rPr>
  </w:style>
  <w:style w:type="character" w:styleId="2308">
    <w:name w:val="Heading 8 Char"/>
    <w:basedOn w:val="2470"/>
    <w:link w:val="2307"/>
    <w:uiPriority w:val="9"/>
    <w:rPr>
      <w:rFonts w:ascii="Arial" w:hAnsi="Arial" w:eastAsia="Arial" w:cs="Arial"/>
      <w:i/>
      <w:iCs/>
      <w:sz w:val="22"/>
      <w:szCs w:val="22"/>
    </w:rPr>
  </w:style>
  <w:style w:type="paragraph" w:styleId="2309">
    <w:name w:val="Heading 9"/>
    <w:basedOn w:val="2469"/>
    <w:next w:val="2469"/>
    <w:link w:val="2310"/>
    <w:uiPriority w:val="9"/>
    <w:unhideWhenUsed/>
    <w:qFormat/>
    <w:pPr>
      <w:keepLines/>
      <w:keepNext/>
      <w:spacing w:before="320" w:after="200"/>
      <w:outlineLvl w:val="8"/>
    </w:pPr>
    <w:rPr>
      <w:rFonts w:ascii="Arial" w:hAnsi="Arial" w:eastAsia="Arial" w:cs="Arial"/>
      <w:i/>
      <w:iCs/>
      <w:sz w:val="21"/>
      <w:szCs w:val="21"/>
    </w:rPr>
  </w:style>
  <w:style w:type="character" w:styleId="2310">
    <w:name w:val="Heading 9 Char"/>
    <w:basedOn w:val="2470"/>
    <w:link w:val="2309"/>
    <w:uiPriority w:val="9"/>
    <w:rPr>
      <w:rFonts w:ascii="Arial" w:hAnsi="Arial" w:eastAsia="Arial" w:cs="Arial"/>
      <w:i/>
      <w:iCs/>
      <w:sz w:val="21"/>
      <w:szCs w:val="21"/>
    </w:rPr>
  </w:style>
  <w:style w:type="paragraph" w:styleId="2311">
    <w:name w:val="List Paragraph"/>
    <w:basedOn w:val="2469"/>
    <w:uiPriority w:val="34"/>
    <w:qFormat/>
    <w:pPr>
      <w:contextualSpacing/>
      <w:ind w:left="720"/>
    </w:pPr>
  </w:style>
  <w:style w:type="paragraph" w:styleId="2312">
    <w:name w:val="No Spacing"/>
    <w:uiPriority w:val="1"/>
    <w:qFormat/>
    <w:pPr>
      <w:spacing w:before="0" w:after="0" w:line="240" w:lineRule="auto"/>
    </w:pPr>
  </w:style>
  <w:style w:type="paragraph" w:styleId="2313">
    <w:name w:val="Title"/>
    <w:basedOn w:val="2469"/>
    <w:next w:val="2469"/>
    <w:link w:val="2314"/>
    <w:uiPriority w:val="10"/>
    <w:qFormat/>
    <w:pPr>
      <w:contextualSpacing/>
      <w:spacing w:before="300" w:after="200"/>
    </w:pPr>
    <w:rPr>
      <w:sz w:val="48"/>
      <w:szCs w:val="48"/>
    </w:rPr>
  </w:style>
  <w:style w:type="character" w:styleId="2314">
    <w:name w:val="Title Char"/>
    <w:basedOn w:val="2470"/>
    <w:link w:val="2313"/>
    <w:uiPriority w:val="10"/>
    <w:rPr>
      <w:sz w:val="48"/>
      <w:szCs w:val="48"/>
    </w:rPr>
  </w:style>
  <w:style w:type="paragraph" w:styleId="2315">
    <w:name w:val="Subtitle"/>
    <w:basedOn w:val="2469"/>
    <w:next w:val="2469"/>
    <w:link w:val="2316"/>
    <w:uiPriority w:val="11"/>
    <w:qFormat/>
    <w:pPr>
      <w:spacing w:before="200" w:after="200"/>
    </w:pPr>
    <w:rPr>
      <w:sz w:val="24"/>
      <w:szCs w:val="24"/>
    </w:rPr>
  </w:style>
  <w:style w:type="character" w:styleId="2316">
    <w:name w:val="Subtitle Char"/>
    <w:basedOn w:val="2470"/>
    <w:link w:val="2315"/>
    <w:uiPriority w:val="11"/>
    <w:rPr>
      <w:sz w:val="24"/>
      <w:szCs w:val="24"/>
    </w:rPr>
  </w:style>
  <w:style w:type="paragraph" w:styleId="2317">
    <w:name w:val="Quote"/>
    <w:basedOn w:val="2469"/>
    <w:next w:val="2469"/>
    <w:link w:val="2318"/>
    <w:uiPriority w:val="29"/>
    <w:qFormat/>
    <w:pPr>
      <w:ind w:left="720" w:right="720"/>
    </w:pPr>
    <w:rPr>
      <w:i/>
    </w:rPr>
  </w:style>
  <w:style w:type="character" w:styleId="2318">
    <w:name w:val="Quote Char"/>
    <w:link w:val="2317"/>
    <w:uiPriority w:val="29"/>
    <w:rPr>
      <w:i/>
    </w:rPr>
  </w:style>
  <w:style w:type="paragraph" w:styleId="2319">
    <w:name w:val="Intense Quote"/>
    <w:basedOn w:val="2469"/>
    <w:next w:val="2469"/>
    <w:link w:val="23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320">
    <w:name w:val="Intense Quote Char"/>
    <w:link w:val="2319"/>
    <w:uiPriority w:val="30"/>
    <w:rPr>
      <w:i/>
    </w:rPr>
  </w:style>
  <w:style w:type="character" w:styleId="2321">
    <w:name w:val="Header Char"/>
    <w:basedOn w:val="2470"/>
    <w:link w:val="2475"/>
    <w:uiPriority w:val="99"/>
  </w:style>
  <w:style w:type="character" w:styleId="2322">
    <w:name w:val="Footer Char"/>
    <w:basedOn w:val="2470"/>
    <w:link w:val="2474"/>
    <w:uiPriority w:val="99"/>
  </w:style>
  <w:style w:type="paragraph" w:styleId="2323">
    <w:name w:val="Caption"/>
    <w:basedOn w:val="2469"/>
    <w:next w:val="2469"/>
    <w:uiPriority w:val="35"/>
    <w:semiHidden/>
    <w:unhideWhenUsed/>
    <w:qFormat/>
    <w:pPr>
      <w:spacing w:line="276" w:lineRule="auto"/>
    </w:pPr>
    <w:rPr>
      <w:b/>
      <w:bCs/>
      <w:color w:val="4f81bd" w:themeColor="accent1"/>
      <w:sz w:val="18"/>
      <w:szCs w:val="18"/>
    </w:rPr>
  </w:style>
  <w:style w:type="character" w:styleId="2324">
    <w:name w:val="Caption Char"/>
    <w:basedOn w:val="2323"/>
    <w:link w:val="2474"/>
    <w:uiPriority w:val="99"/>
  </w:style>
  <w:style w:type="table" w:styleId="2325">
    <w:name w:val="Table Grid"/>
    <w:basedOn w:val="24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name w:val="Table Grid Light"/>
    <w:basedOn w:val="24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327">
    <w:name w:val="Plain Table 1"/>
    <w:basedOn w:val="24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28">
    <w:name w:val="Plain Table 2"/>
    <w:basedOn w:val="24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329">
    <w:name w:val="Plain Table 3"/>
    <w:basedOn w:val="24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330">
    <w:name w:val="Plain Table 4"/>
    <w:basedOn w:val="24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331">
    <w:name w:val="Plain Table 5"/>
    <w:basedOn w:val="24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332">
    <w:name w:val="Grid Table 1 Light"/>
    <w:basedOn w:val="24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333">
    <w:name w:val="Grid Table 1 Light - Accent 1"/>
    <w:basedOn w:val="24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334">
    <w:name w:val="Grid Table 1 Light - Accent 2"/>
    <w:basedOn w:val="24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335">
    <w:name w:val="Grid Table 1 Light - Accent 3"/>
    <w:basedOn w:val="24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336">
    <w:name w:val="Grid Table 1 Light - Accent 4"/>
    <w:basedOn w:val="24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337">
    <w:name w:val="Grid Table 1 Light - Accent 5"/>
    <w:basedOn w:val="24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338">
    <w:name w:val="Grid Table 1 Light - Accent 6"/>
    <w:basedOn w:val="24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339">
    <w:name w:val="Grid Table 2"/>
    <w:basedOn w:val="24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340">
    <w:name w:val="Grid Table 2 - Accent 1"/>
    <w:basedOn w:val="24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341">
    <w:name w:val="Grid Table 2 - Accent 2"/>
    <w:basedOn w:val="24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342">
    <w:name w:val="Grid Table 2 - Accent 3"/>
    <w:basedOn w:val="24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343">
    <w:name w:val="Grid Table 2 - Accent 4"/>
    <w:basedOn w:val="24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344">
    <w:name w:val="Grid Table 2 - Accent 5"/>
    <w:basedOn w:val="24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345">
    <w:name w:val="Grid Table 2 - Accent 6"/>
    <w:basedOn w:val="24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346">
    <w:name w:val="Grid Table 3"/>
    <w:basedOn w:val="24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47">
    <w:name w:val="Grid Table 3 - Accent 1"/>
    <w:basedOn w:val="24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48">
    <w:name w:val="Grid Table 3 - Accent 2"/>
    <w:basedOn w:val="24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49">
    <w:name w:val="Grid Table 3 - Accent 3"/>
    <w:basedOn w:val="24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50">
    <w:name w:val="Grid Table 3 - Accent 4"/>
    <w:basedOn w:val="24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51">
    <w:name w:val="Grid Table 3 - Accent 5"/>
    <w:basedOn w:val="24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52">
    <w:name w:val="Grid Table 3 - Accent 6"/>
    <w:basedOn w:val="24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53">
    <w:name w:val="Grid Table 4"/>
    <w:basedOn w:val="24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354">
    <w:name w:val="Grid Table 4 - Accent 1"/>
    <w:basedOn w:val="24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355">
    <w:name w:val="Grid Table 4 - Accent 2"/>
    <w:basedOn w:val="24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356">
    <w:name w:val="Grid Table 4 - Accent 3"/>
    <w:basedOn w:val="24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357">
    <w:name w:val="Grid Table 4 - Accent 4"/>
    <w:basedOn w:val="24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358">
    <w:name w:val="Grid Table 4 - Accent 5"/>
    <w:basedOn w:val="24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359">
    <w:name w:val="Grid Table 4 - Accent 6"/>
    <w:basedOn w:val="24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360">
    <w:name w:val="Grid Table 5 Dark"/>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361">
    <w:name w:val="Grid Table 5 Dark- Accent 1"/>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362">
    <w:name w:val="Grid Table 5 Dark - Accent 2"/>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363">
    <w:name w:val="Grid Table 5 Dark - Accent 3"/>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364">
    <w:name w:val="Grid Table 5 Dark- Accent 4"/>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365">
    <w:name w:val="Grid Table 5 Dark - Accent 5"/>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366">
    <w:name w:val="Grid Table 5 Dark - Accent 6"/>
    <w:basedOn w:val="24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367">
    <w:name w:val="Grid Table 6 Colorful"/>
    <w:basedOn w:val="24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368">
    <w:name w:val="Grid Table 6 Colorful - Accent 1"/>
    <w:basedOn w:val="24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369">
    <w:name w:val="Grid Table 6 Colorful - Accent 2"/>
    <w:basedOn w:val="24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370">
    <w:name w:val="Grid Table 6 Colorful - Accent 3"/>
    <w:basedOn w:val="24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371">
    <w:name w:val="Grid Table 6 Colorful - Accent 4"/>
    <w:basedOn w:val="24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372">
    <w:name w:val="Grid Table 6 Colorful - Accent 5"/>
    <w:basedOn w:val="24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373">
    <w:name w:val="Grid Table 6 Colorful - Accent 6"/>
    <w:basedOn w:val="24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374">
    <w:name w:val="Grid Table 7 Colorful"/>
    <w:basedOn w:val="24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375">
    <w:name w:val="Grid Table 7 Colorful - Accent 1"/>
    <w:basedOn w:val="24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376">
    <w:name w:val="Grid Table 7 Colorful - Accent 2"/>
    <w:basedOn w:val="24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377">
    <w:name w:val="Grid Table 7 Colorful - Accent 3"/>
    <w:basedOn w:val="24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378">
    <w:name w:val="Grid Table 7 Colorful - Accent 4"/>
    <w:basedOn w:val="24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379">
    <w:name w:val="Grid Table 7 Colorful - Accent 5"/>
    <w:basedOn w:val="24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380">
    <w:name w:val="Grid Table 7 Colorful - Accent 6"/>
    <w:basedOn w:val="24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381">
    <w:name w:val="List Table 1 Light"/>
    <w:basedOn w:val="24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382">
    <w:name w:val="List Table 1 Light - Accent 1"/>
    <w:basedOn w:val="24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383">
    <w:name w:val="List Table 1 Light - Accent 2"/>
    <w:basedOn w:val="24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384">
    <w:name w:val="List Table 1 Light - Accent 3"/>
    <w:basedOn w:val="24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385">
    <w:name w:val="List Table 1 Light - Accent 4"/>
    <w:basedOn w:val="24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386">
    <w:name w:val="List Table 1 Light - Accent 5"/>
    <w:basedOn w:val="24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387">
    <w:name w:val="List Table 1 Light - Accent 6"/>
    <w:basedOn w:val="24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388">
    <w:name w:val="List Table 2"/>
    <w:basedOn w:val="24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389">
    <w:name w:val="List Table 2 - Accent 1"/>
    <w:basedOn w:val="24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390">
    <w:name w:val="List Table 2 - Accent 2"/>
    <w:basedOn w:val="24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391">
    <w:name w:val="List Table 2 - Accent 3"/>
    <w:basedOn w:val="24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392">
    <w:name w:val="List Table 2 - Accent 4"/>
    <w:basedOn w:val="24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393">
    <w:name w:val="List Table 2 - Accent 5"/>
    <w:basedOn w:val="24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394">
    <w:name w:val="List Table 2 - Accent 6"/>
    <w:basedOn w:val="24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395">
    <w:name w:val="List Table 3"/>
    <w:basedOn w:val="24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396">
    <w:name w:val="List Table 3 - Accent 1"/>
    <w:basedOn w:val="24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397">
    <w:name w:val="List Table 3 - Accent 2"/>
    <w:basedOn w:val="24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398">
    <w:name w:val="List Table 3 - Accent 3"/>
    <w:basedOn w:val="24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399">
    <w:name w:val="List Table 3 - Accent 4"/>
    <w:basedOn w:val="24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400">
    <w:name w:val="List Table 3 - Accent 5"/>
    <w:basedOn w:val="24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401">
    <w:name w:val="List Table 3 - Accent 6"/>
    <w:basedOn w:val="24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402">
    <w:name w:val="List Table 4"/>
    <w:basedOn w:val="24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403">
    <w:name w:val="List Table 4 - Accent 1"/>
    <w:basedOn w:val="24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404">
    <w:name w:val="List Table 4 - Accent 2"/>
    <w:basedOn w:val="24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405">
    <w:name w:val="List Table 4 - Accent 3"/>
    <w:basedOn w:val="24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406">
    <w:name w:val="List Table 4 - Accent 4"/>
    <w:basedOn w:val="24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407">
    <w:name w:val="List Table 4 - Accent 5"/>
    <w:basedOn w:val="24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408">
    <w:name w:val="List Table 4 - Accent 6"/>
    <w:basedOn w:val="24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409">
    <w:name w:val="List Table 5 Dark"/>
    <w:basedOn w:val="24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0">
    <w:name w:val="List Table 5 Dark - Accent 1"/>
    <w:basedOn w:val="24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1">
    <w:name w:val="List Table 5 Dark - Accent 2"/>
    <w:basedOn w:val="24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2">
    <w:name w:val="List Table 5 Dark - Accent 3"/>
    <w:basedOn w:val="24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3">
    <w:name w:val="List Table 5 Dark - Accent 4"/>
    <w:basedOn w:val="24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4">
    <w:name w:val="List Table 5 Dark - Accent 5"/>
    <w:basedOn w:val="24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5">
    <w:name w:val="List Table 5 Dark - Accent 6"/>
    <w:basedOn w:val="24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16">
    <w:name w:val="List Table 6 Colorful"/>
    <w:basedOn w:val="24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417">
    <w:name w:val="List Table 6 Colorful - Accent 1"/>
    <w:basedOn w:val="24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418">
    <w:name w:val="List Table 6 Colorful - Accent 2"/>
    <w:basedOn w:val="24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419">
    <w:name w:val="List Table 6 Colorful - Accent 3"/>
    <w:basedOn w:val="24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420">
    <w:name w:val="List Table 6 Colorful - Accent 4"/>
    <w:basedOn w:val="24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421">
    <w:name w:val="List Table 6 Colorful - Accent 5"/>
    <w:basedOn w:val="24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422">
    <w:name w:val="List Table 6 Colorful - Accent 6"/>
    <w:basedOn w:val="24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423">
    <w:name w:val="List Table 7 Colorful"/>
    <w:basedOn w:val="24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424">
    <w:name w:val="List Table 7 Colorful - Accent 1"/>
    <w:basedOn w:val="24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425">
    <w:name w:val="List Table 7 Colorful - Accent 2"/>
    <w:basedOn w:val="24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426">
    <w:name w:val="List Table 7 Colorful - Accent 3"/>
    <w:basedOn w:val="24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427">
    <w:name w:val="List Table 7 Colorful - Accent 4"/>
    <w:basedOn w:val="24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428">
    <w:name w:val="List Table 7 Colorful - Accent 5"/>
    <w:basedOn w:val="24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429">
    <w:name w:val="List Table 7 Colorful - Accent 6"/>
    <w:basedOn w:val="24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430">
    <w:name w:val="Lined - Accent"/>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431">
    <w:name w:val="Lined - Accent 1"/>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32">
    <w:name w:val="Lined - Accent 2"/>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33">
    <w:name w:val="Lined - Accent 3"/>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34">
    <w:name w:val="Lined - Accent 4"/>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35">
    <w:name w:val="Lined - Accent 5"/>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36">
    <w:name w:val="Lined - Accent 6"/>
    <w:basedOn w:val="24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37">
    <w:name w:val="Bordered &amp; Lined - Accent"/>
    <w:basedOn w:val="24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438">
    <w:name w:val="Bordered &amp; Lined - Accent 1"/>
    <w:basedOn w:val="24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39">
    <w:name w:val="Bordered &amp; Lined - Accent 2"/>
    <w:basedOn w:val="24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40">
    <w:name w:val="Bordered &amp; Lined - Accent 3"/>
    <w:basedOn w:val="24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41">
    <w:name w:val="Bordered &amp; Lined - Accent 4"/>
    <w:basedOn w:val="24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42">
    <w:name w:val="Bordered &amp; Lined - Accent 5"/>
    <w:basedOn w:val="24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43">
    <w:name w:val="Bordered &amp; Lined - Accent 6"/>
    <w:basedOn w:val="24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44">
    <w:name w:val="Bordered"/>
    <w:basedOn w:val="24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445">
    <w:name w:val="Bordered - Accent 1"/>
    <w:basedOn w:val="24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446">
    <w:name w:val="Bordered - Accent 2"/>
    <w:basedOn w:val="24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447">
    <w:name w:val="Bordered - Accent 3"/>
    <w:basedOn w:val="24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448">
    <w:name w:val="Bordered - Accent 4"/>
    <w:basedOn w:val="24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449">
    <w:name w:val="Bordered - Accent 5"/>
    <w:basedOn w:val="24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450">
    <w:name w:val="Bordered - Accent 6"/>
    <w:basedOn w:val="24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451">
    <w:name w:val="Hyperlink"/>
    <w:uiPriority w:val="99"/>
    <w:unhideWhenUsed/>
    <w:rPr>
      <w:color w:val="0000ff" w:themeColor="hyperlink"/>
      <w:u w:val="single"/>
    </w:rPr>
  </w:style>
  <w:style w:type="paragraph" w:styleId="2452">
    <w:name w:val="footnote text"/>
    <w:basedOn w:val="2469"/>
    <w:link w:val="2453"/>
    <w:uiPriority w:val="99"/>
    <w:semiHidden/>
    <w:unhideWhenUsed/>
    <w:pPr>
      <w:spacing w:after="40" w:line="240" w:lineRule="auto"/>
    </w:pPr>
    <w:rPr>
      <w:sz w:val="18"/>
    </w:rPr>
  </w:style>
  <w:style w:type="character" w:styleId="2453">
    <w:name w:val="Footnote Text Char"/>
    <w:link w:val="2452"/>
    <w:uiPriority w:val="99"/>
    <w:rPr>
      <w:sz w:val="18"/>
    </w:rPr>
  </w:style>
  <w:style w:type="character" w:styleId="2454">
    <w:name w:val="footnote reference"/>
    <w:basedOn w:val="2470"/>
    <w:uiPriority w:val="99"/>
    <w:unhideWhenUsed/>
    <w:rPr>
      <w:vertAlign w:val="superscript"/>
    </w:rPr>
  </w:style>
  <w:style w:type="paragraph" w:styleId="2455">
    <w:name w:val="endnote text"/>
    <w:basedOn w:val="2469"/>
    <w:link w:val="2456"/>
    <w:uiPriority w:val="99"/>
    <w:semiHidden/>
    <w:unhideWhenUsed/>
    <w:pPr>
      <w:spacing w:after="0" w:line="240" w:lineRule="auto"/>
    </w:pPr>
    <w:rPr>
      <w:sz w:val="20"/>
    </w:rPr>
  </w:style>
  <w:style w:type="character" w:styleId="2456">
    <w:name w:val="Endnote Text Char"/>
    <w:link w:val="2455"/>
    <w:uiPriority w:val="99"/>
    <w:rPr>
      <w:sz w:val="20"/>
    </w:rPr>
  </w:style>
  <w:style w:type="character" w:styleId="2457">
    <w:name w:val="endnote reference"/>
    <w:basedOn w:val="2470"/>
    <w:uiPriority w:val="99"/>
    <w:semiHidden/>
    <w:unhideWhenUsed/>
    <w:rPr>
      <w:vertAlign w:val="superscript"/>
    </w:rPr>
  </w:style>
  <w:style w:type="paragraph" w:styleId="2458">
    <w:name w:val="toc 1"/>
    <w:basedOn w:val="2469"/>
    <w:next w:val="2469"/>
    <w:uiPriority w:val="39"/>
    <w:unhideWhenUsed/>
    <w:pPr>
      <w:ind w:left="0" w:right="0" w:firstLine="0"/>
      <w:spacing w:after="57"/>
    </w:pPr>
  </w:style>
  <w:style w:type="paragraph" w:styleId="2459">
    <w:name w:val="toc 2"/>
    <w:basedOn w:val="2469"/>
    <w:next w:val="2469"/>
    <w:uiPriority w:val="39"/>
    <w:unhideWhenUsed/>
    <w:pPr>
      <w:ind w:left="283" w:right="0" w:firstLine="0"/>
      <w:spacing w:after="57"/>
    </w:pPr>
  </w:style>
  <w:style w:type="paragraph" w:styleId="2460">
    <w:name w:val="toc 3"/>
    <w:basedOn w:val="2469"/>
    <w:next w:val="2469"/>
    <w:uiPriority w:val="39"/>
    <w:unhideWhenUsed/>
    <w:pPr>
      <w:ind w:left="567" w:right="0" w:firstLine="0"/>
      <w:spacing w:after="57"/>
    </w:pPr>
  </w:style>
  <w:style w:type="paragraph" w:styleId="2461">
    <w:name w:val="toc 4"/>
    <w:basedOn w:val="2469"/>
    <w:next w:val="2469"/>
    <w:uiPriority w:val="39"/>
    <w:unhideWhenUsed/>
    <w:pPr>
      <w:ind w:left="850" w:right="0" w:firstLine="0"/>
      <w:spacing w:after="57"/>
    </w:pPr>
  </w:style>
  <w:style w:type="paragraph" w:styleId="2462">
    <w:name w:val="toc 5"/>
    <w:basedOn w:val="2469"/>
    <w:next w:val="2469"/>
    <w:uiPriority w:val="39"/>
    <w:unhideWhenUsed/>
    <w:pPr>
      <w:ind w:left="1134" w:right="0" w:firstLine="0"/>
      <w:spacing w:after="57"/>
    </w:pPr>
  </w:style>
  <w:style w:type="paragraph" w:styleId="2463">
    <w:name w:val="toc 6"/>
    <w:basedOn w:val="2469"/>
    <w:next w:val="2469"/>
    <w:uiPriority w:val="39"/>
    <w:unhideWhenUsed/>
    <w:pPr>
      <w:ind w:left="1417" w:right="0" w:firstLine="0"/>
      <w:spacing w:after="57"/>
    </w:pPr>
  </w:style>
  <w:style w:type="paragraph" w:styleId="2464">
    <w:name w:val="toc 7"/>
    <w:basedOn w:val="2469"/>
    <w:next w:val="2469"/>
    <w:uiPriority w:val="39"/>
    <w:unhideWhenUsed/>
    <w:pPr>
      <w:ind w:left="1701" w:right="0" w:firstLine="0"/>
      <w:spacing w:after="57"/>
    </w:pPr>
  </w:style>
  <w:style w:type="paragraph" w:styleId="2465">
    <w:name w:val="toc 8"/>
    <w:basedOn w:val="2469"/>
    <w:next w:val="2469"/>
    <w:uiPriority w:val="39"/>
    <w:unhideWhenUsed/>
    <w:pPr>
      <w:ind w:left="1984" w:right="0" w:firstLine="0"/>
      <w:spacing w:after="57"/>
    </w:pPr>
  </w:style>
  <w:style w:type="paragraph" w:styleId="2466">
    <w:name w:val="toc 9"/>
    <w:basedOn w:val="2469"/>
    <w:next w:val="2469"/>
    <w:uiPriority w:val="39"/>
    <w:unhideWhenUsed/>
    <w:pPr>
      <w:ind w:left="2268" w:right="0" w:firstLine="0"/>
      <w:spacing w:after="57"/>
    </w:pPr>
  </w:style>
  <w:style w:type="paragraph" w:styleId="2467">
    <w:name w:val="TOC Heading"/>
    <w:uiPriority w:val="39"/>
    <w:unhideWhenUsed/>
  </w:style>
  <w:style w:type="paragraph" w:styleId="2468">
    <w:name w:val="table of figures"/>
    <w:basedOn w:val="2469"/>
    <w:next w:val="2469"/>
    <w:uiPriority w:val="99"/>
    <w:unhideWhenUsed/>
    <w:pPr>
      <w:spacing w:after="0" w:afterAutospacing="0"/>
    </w:pPr>
  </w:style>
  <w:style w:type="paragraph" w:styleId="2469" w:default="1">
    <w:name w:val="Normal"/>
    <w:next w:val="2472"/>
    <w:uiPriority w:val="0"/>
    <w:unhideWhenUsed/>
    <w:qFormat/>
    <w:pPr>
      <w:jc w:val="both"/>
      <w:spacing w:after="160" w:line="259" w:lineRule="auto"/>
      <w:widowControl w:val="off"/>
    </w:pPr>
    <w:rPr>
      <w:rFonts w:hint="default" w:ascii="Calibri" w:hAnsi="Calibri" w:eastAsia="宋体" w:cs="Times New Roman"/>
      <w:sz w:val="21"/>
      <w:szCs w:val="24"/>
      <w:lang w:val="en-US" w:eastAsia="zh-CN" w:bidi="ar-SA"/>
    </w:rPr>
  </w:style>
  <w:style w:type="character" w:styleId="2470" w:default="1">
    <w:name w:val="Default Paragraph Font"/>
    <w:uiPriority w:val="0"/>
    <w:semiHidden/>
    <w:qFormat/>
  </w:style>
  <w:style w:type="table" w:styleId="2471" w:default="1">
    <w:name w:val="Normal Table"/>
    <w:uiPriority w:val="0"/>
    <w:semiHidden/>
    <w:qFormat/>
    <w:tblPr>
      <w:tblCellMar>
        <w:left w:w="108" w:type="dxa"/>
        <w:top w:w="0" w:type="dxa"/>
        <w:right w:w="108" w:type="dxa"/>
        <w:bottom w:w="0" w:type="dxa"/>
      </w:tblCellMar>
    </w:tblPr>
  </w:style>
  <w:style w:type="paragraph" w:styleId="2472" w:customStyle="1">
    <w:name w:val="段"/>
    <w:next w:val="2473"/>
    <w:uiPriority w:val="0"/>
    <w:qFormat/>
    <w:pPr>
      <w:ind w:firstLine="200"/>
      <w:jc w:val="both"/>
      <w:spacing w:after="160" w:line="259" w:lineRule="auto"/>
      <w:widowControl w:val="off"/>
    </w:pPr>
    <w:rPr>
      <w:rFonts w:ascii="宋体" w:hAnsi="宋体" w:eastAsia="宋体" w:cs="宋体"/>
      <w:color w:val="000000"/>
      <w:sz w:val="21"/>
      <w:szCs w:val="21"/>
      <w:lang w:val="en-US" w:eastAsia="zh-CN" w:bidi="ar-SA"/>
    </w:rPr>
  </w:style>
  <w:style w:type="paragraph" w:styleId="2473" w:customStyle="1">
    <w:name w:val="正文 A"/>
    <w:next w:val="2472"/>
    <w:uiPriority w:val="0"/>
    <w:qFormat/>
    <w:pPr>
      <w:jc w:val="both"/>
      <w:spacing w:after="160" w:line="259" w:lineRule="auto"/>
      <w:widowControl w:val="off"/>
    </w:pPr>
    <w:rPr>
      <w:rFonts w:ascii="Times New Roman" w:hAnsi="Times New Roman" w:eastAsia="Calibri" w:cs="Calibri"/>
      <w:color w:val="000000"/>
      <w:sz w:val="21"/>
      <w:szCs w:val="21"/>
      <w:lang w:val="en-US" w:eastAsia="zh-CN" w:bidi="ar-SA"/>
    </w:rPr>
  </w:style>
  <w:style w:type="paragraph" w:styleId="2474">
    <w:name w:val="Footer"/>
    <w:basedOn w:val="2469"/>
    <w:uiPriority w:val="0"/>
    <w:qFormat/>
    <w:pPr>
      <w:jc w:val="left"/>
      <w:tabs>
        <w:tab w:val="center" w:pos="4153" w:leader="none"/>
        <w:tab w:val="right" w:pos="8306" w:leader="none"/>
      </w:tabs>
    </w:pPr>
    <w:rPr>
      <w:sz w:val="18"/>
    </w:rPr>
  </w:style>
  <w:style w:type="paragraph" w:styleId="2475">
    <w:name w:val="Header"/>
    <w:basedOn w:val="246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2476">
    <w:name w:val="Normal (Web)"/>
    <w:basedOn w:val="2469"/>
    <w:uiPriority w:val="0"/>
    <w:unhideWhenUsed/>
    <w:qFormat/>
    <w:pPr>
      <w:jc w:val="left"/>
      <w:spacing w:beforeAutospacing="1" w:afterAutospacing="1"/>
    </w:pPr>
    <w:rPr>
      <w:rFonts w:hint="default"/>
      <w:sz w:val="24"/>
      <w:szCs w:val="24"/>
    </w:rPr>
  </w:style>
  <w:style w:type="paragraph" w:styleId="2477" w:customStyle="1">
    <w:name w:val="正文首行缩进 21"/>
    <w:basedOn w:val="2478"/>
    <w:uiPriority w:val="0"/>
    <w:unhideWhenUsed/>
    <w:qFormat/>
    <w:pPr>
      <w:ind w:firstLine="420"/>
    </w:pPr>
    <w:rPr>
      <w:rFonts w:hint="default"/>
      <w:sz w:val="21"/>
      <w:szCs w:val="24"/>
    </w:rPr>
  </w:style>
  <w:style w:type="paragraph" w:styleId="2478" w:customStyle="1">
    <w:name w:val="正文文本缩进1"/>
    <w:basedOn w:val="2469"/>
    <w:uiPriority w:val="0"/>
    <w:unhideWhenUsed/>
    <w:qFormat/>
    <w:pPr>
      <w:ind w:left="420"/>
      <w:spacing w:after="120"/>
    </w:pPr>
    <w:rPr>
      <w:rFonts w:hint="default"/>
      <w:sz w:val="21"/>
      <w:szCs w:val="24"/>
    </w:rPr>
  </w:style>
  <w:style w:type="paragraph" w:styleId="2479" w:customStyle="1">
    <w:name w:val="普通(网站)1"/>
    <w:basedOn w:val="2469"/>
    <w:uiPriority w:val="0"/>
    <w:unhideWhenUsed/>
    <w:qFormat/>
    <w:pPr>
      <w:jc w:val="left"/>
      <w:spacing w:before="100" w:beforeAutospacing="1" w:after="100" w:afterAutospacing="1"/>
      <w:widowControl/>
    </w:pPr>
    <w:rPr>
      <w:rFonts w:hint="eastAsia" w:ascii="宋体" w:hAnsi="宋体" w:cs="宋体"/>
      <w:sz w:val="24"/>
      <w:szCs w:val="24"/>
    </w:rPr>
  </w:style>
  <w:style w:type="numbering" w:styleId="2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9"/>
    <customShpInfo spid="_x0000_s2060"/>
    <customShpInfo spid="_x0000_s2061"/>
    <customShpInfo spid="_x0000_s2065"/>
    <customShpInfo spid="_x0000_s2066"/>
    <customShpInfo spid="_x0000_s2067"/>
    <customShpInfo spid="_x0000_s2062"/>
    <customShpInfo spid="_x0000_s2063"/>
    <customShpInfo spid="_x0000_s2064"/>
    <customShpInfo spid="_x0000_s1026" textRotate="1"/>
    <customShpInfo spid="_x0000_s2068"/>
    <customShpInfo spid="_x0000_s2069"/>
    <customShpInfo spid="_x0000_s2070"/>
    <customShpInfo spid="_x0000_s2074"/>
    <customShpInfo spid="_x0000_s2075"/>
    <customShpInfo spid="_x0000_s2076"/>
    <customShpInfo spid="_x0000_s2071"/>
    <customShpInfo spid="_x0000_s2072"/>
    <customShpInfo spid="_x0000_s2073"/>
    <customShpInfo spid="_x0000_s2095"/>
    <customShpInfo spid="_x0000_s2096"/>
    <customShpInfo spid="_x0000_s2097"/>
    <customShpInfo spid="_x0000_s2101"/>
    <customShpInfo spid="_x0000_s2102"/>
    <customShpInfo spid="_x0000_s2103"/>
    <customShpInfo spid="_x0000_s2098"/>
    <customShpInfo spid="_x0000_s2099"/>
    <customShpInfo spid="_x0000_s2100"/>
    <customShpInfo spid="_x0000_s2131"/>
    <customShpInfo spid="_x0000_s2132"/>
    <customShpInfo spid="_x0000_s2133"/>
    <customShpInfo spid="_x0000_s2137"/>
    <customShpInfo spid="_x0000_s2138"/>
    <customShpInfo spid="_x0000_s2139"/>
    <customShpInfo spid="_x0000_s2134"/>
    <customShpInfo spid="_x0000_s2135"/>
    <customShpInfo spid="_x0000_s2136"/>
    <customShpInfo spid="_x0000_s2140"/>
    <customShpInfo spid="_x0000_s2141"/>
    <customShpInfo spid="_x0000_s2142"/>
    <customShpInfo spid="_x0000_s2146"/>
    <customShpInfo spid="_x0000_s2147"/>
    <customShpInfo spid="_x0000_s2148"/>
    <customShpInfo spid="_x0000_s2143"/>
    <customShpInfo spid="_x0000_s2144"/>
    <customShpInfo spid="_x0000_s214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名可名，非常名</dc:creator>
  <cp:lastModifiedBy>吉胜</cp:lastModifiedBy>
  <cp:revision>3</cp:revision>
  <dcterms:created xsi:type="dcterms:W3CDTF">2026-03-26T02:46:00Z</dcterms:created>
  <dcterms:modified xsi:type="dcterms:W3CDTF">2026-05-18T09:38:50Z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84DD44051D304A079B4D8A5026FC209C_11</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